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57C8AD" w14:textId="6C58C098" w:rsidR="0070754E" w:rsidRPr="0005301C" w:rsidRDefault="004D1719" w:rsidP="008D4E54">
      <w:pPr>
        <w:jc w:val="center"/>
        <w:rPr>
          <w:rFonts w:ascii="Calibri" w:hAnsi="Calibri" w:cs="Calibri" w:hint="eastAsia"/>
          <w:b/>
          <w:bCs/>
          <w:sz w:val="22"/>
          <w:szCs w:val="22"/>
        </w:rPr>
      </w:pPr>
      <w:r w:rsidRPr="001E029F">
        <w:rPr>
          <w:rFonts w:ascii="Calibri" w:hAnsi="Calibri" w:cs="Calibri"/>
          <w:b/>
          <w:bCs/>
          <w:sz w:val="22"/>
          <w:szCs w:val="22"/>
        </w:rPr>
        <w:t>E</w:t>
      </w:r>
      <w:r w:rsidRPr="001E029F">
        <w:rPr>
          <w:rFonts w:ascii="Calibri" w:hAnsi="Calibri" w:cs="Calibri" w:hint="eastAsia"/>
          <w:b/>
          <w:bCs/>
          <w:sz w:val="22"/>
          <w:szCs w:val="22"/>
        </w:rPr>
        <w:t>ducation-led R</w:t>
      </w:r>
      <w:r w:rsidR="00EE7D9E" w:rsidRPr="001E029F">
        <w:rPr>
          <w:rFonts w:ascii="Calibri" w:hAnsi="Calibri" w:cs="Calibri"/>
          <w:b/>
          <w:bCs/>
          <w:sz w:val="22"/>
          <w:szCs w:val="22"/>
        </w:rPr>
        <w:t>esidential (</w:t>
      </w:r>
      <w:proofErr w:type="spellStart"/>
      <w:r w:rsidR="00EE7D9E" w:rsidRPr="001E029F">
        <w:rPr>
          <w:rFonts w:ascii="Calibri" w:hAnsi="Calibri" w:cs="Calibri"/>
          <w:b/>
          <w:bCs/>
          <w:sz w:val="22"/>
          <w:szCs w:val="22"/>
        </w:rPr>
        <w:t>Im</w:t>
      </w:r>
      <w:proofErr w:type="spellEnd"/>
      <w:r w:rsidR="00EE7D9E" w:rsidRPr="001E029F">
        <w:rPr>
          <w:rFonts w:ascii="Calibri" w:hAnsi="Calibri" w:cs="Calibri"/>
          <w:b/>
          <w:bCs/>
          <w:sz w:val="22"/>
          <w:szCs w:val="22"/>
        </w:rPr>
        <w:t>)</w:t>
      </w:r>
      <w:r w:rsidR="00EE7D9E" w:rsidRPr="0005301C">
        <w:rPr>
          <w:rFonts w:ascii="Calibri" w:hAnsi="Calibri" w:cs="Calibri"/>
          <w:b/>
          <w:bCs/>
          <w:sz w:val="22"/>
          <w:szCs w:val="22"/>
        </w:rPr>
        <w:t>Mobilities and Urban</w:t>
      </w:r>
      <w:r w:rsidR="009A57E7" w:rsidRPr="0005301C">
        <w:rPr>
          <w:rFonts w:ascii="Calibri" w:hAnsi="Calibri" w:cs="Calibri"/>
          <w:b/>
          <w:bCs/>
          <w:sz w:val="22"/>
          <w:szCs w:val="22"/>
        </w:rPr>
        <w:t>/Regional</w:t>
      </w:r>
      <w:r w:rsidR="00EE7D9E" w:rsidRPr="0005301C">
        <w:rPr>
          <w:rFonts w:ascii="Calibri" w:hAnsi="Calibri" w:cs="Calibri"/>
          <w:b/>
          <w:bCs/>
          <w:sz w:val="22"/>
          <w:szCs w:val="22"/>
        </w:rPr>
        <w:t xml:space="preserve"> (Re)Development</w:t>
      </w:r>
      <w:r w:rsidR="00423137">
        <w:rPr>
          <w:rFonts w:ascii="Calibri" w:hAnsi="Calibri" w:cs="Calibri" w:hint="eastAsia"/>
          <w:b/>
          <w:bCs/>
          <w:sz w:val="22"/>
          <w:szCs w:val="22"/>
        </w:rPr>
        <w:t xml:space="preserve"> in Scotland</w:t>
      </w:r>
    </w:p>
    <w:p w14:paraId="485A42D6" w14:textId="543BBEFE" w:rsidR="008D4E54" w:rsidRPr="0005301C" w:rsidRDefault="001E029F" w:rsidP="001E029F">
      <w:pPr>
        <w:jc w:val="center"/>
        <w:rPr>
          <w:rFonts w:ascii="Calibri" w:hAnsi="Calibri" w:cs="Calibri"/>
          <w:b/>
          <w:bCs/>
        </w:rPr>
      </w:pPr>
      <w:r w:rsidRPr="0005301C">
        <w:rPr>
          <w:rFonts w:ascii="Calibri" w:hAnsi="Calibri" w:cs="Calibri"/>
          <w:b/>
          <w:bCs/>
        </w:rPr>
        <w:t>Supervisors:</w:t>
      </w:r>
      <w:r w:rsidR="008D4E54" w:rsidRPr="0005301C">
        <w:rPr>
          <w:rFonts w:ascii="Calibri" w:hAnsi="Calibri" w:cs="Calibri"/>
          <w:b/>
          <w:bCs/>
        </w:rPr>
        <w:t xml:space="preserve"> </w:t>
      </w:r>
      <w:hyperlink r:id="rId5" w:history="1">
        <w:proofErr w:type="spellStart"/>
        <w:r w:rsidR="008D4E54" w:rsidRPr="0005301C">
          <w:rPr>
            <w:rStyle w:val="Hyperlink"/>
            <w:rFonts w:ascii="Calibri" w:hAnsi="Calibri" w:cs="Calibri"/>
            <w:b/>
            <w:bCs/>
          </w:rPr>
          <w:t>Dr.</w:t>
        </w:r>
        <w:proofErr w:type="spellEnd"/>
        <w:r w:rsidR="008D4E54" w:rsidRPr="0005301C">
          <w:rPr>
            <w:rStyle w:val="Hyperlink"/>
            <w:rFonts w:ascii="Calibri" w:hAnsi="Calibri" w:cs="Calibri"/>
            <w:b/>
            <w:bCs/>
          </w:rPr>
          <w:t xml:space="preserve"> Qiong He</w:t>
        </w:r>
      </w:hyperlink>
      <w:r w:rsidR="0005301C" w:rsidRPr="0005301C">
        <w:rPr>
          <w:rFonts w:ascii="Calibri" w:hAnsi="Calibri" w:cs="Calibri"/>
          <w:b/>
          <w:bCs/>
        </w:rPr>
        <w:t xml:space="preserve"> </w:t>
      </w:r>
      <w:r w:rsidR="0005301C" w:rsidRPr="0005301C">
        <w:rPr>
          <w:rFonts w:ascii="Calibri" w:eastAsia="SimSun" w:hAnsi="Calibri" w:cs="Calibri"/>
          <w:b/>
          <w:bCs/>
        </w:rPr>
        <w:t xml:space="preserve">and </w:t>
      </w:r>
      <w:hyperlink r:id="rId6" w:history="1">
        <w:r w:rsidR="0005301C" w:rsidRPr="0005301C">
          <w:rPr>
            <w:rStyle w:val="Hyperlink"/>
            <w:rFonts w:ascii="Calibri" w:hAnsi="Calibri" w:cs="Calibri"/>
            <w:b/>
            <w:bCs/>
          </w:rPr>
          <w:t>Prof. Dan Clayton</w:t>
        </w:r>
      </w:hyperlink>
    </w:p>
    <w:p w14:paraId="5EC1418E" w14:textId="77777777" w:rsidR="008F1A53" w:rsidRPr="0005301C" w:rsidRDefault="008F1A53" w:rsidP="008F1A53">
      <w:pPr>
        <w:rPr>
          <w:rFonts w:ascii="Calibri" w:hAnsi="Calibri" w:cs="Calibri"/>
          <w:sz w:val="22"/>
          <w:szCs w:val="22"/>
        </w:rPr>
      </w:pPr>
    </w:p>
    <w:p w14:paraId="55DD7DA3" w14:textId="25839571" w:rsidR="00920524" w:rsidRDefault="00761281" w:rsidP="008F1A53">
      <w:pPr>
        <w:rPr>
          <w:rFonts w:ascii="Calibri" w:hAnsi="Calibri" w:cs="Calibri"/>
          <w:sz w:val="22"/>
          <w:szCs w:val="22"/>
        </w:rPr>
      </w:pPr>
      <w:r w:rsidRPr="0005301C">
        <w:rPr>
          <w:rFonts w:ascii="Calibri" w:hAnsi="Calibri" w:cs="Calibri"/>
          <w:sz w:val="22"/>
          <w:szCs w:val="22"/>
        </w:rPr>
        <w:t>Education</w:t>
      </w:r>
      <w:r w:rsidR="00B95963" w:rsidRPr="0005301C">
        <w:rPr>
          <w:rFonts w:ascii="Calibri" w:hAnsi="Calibri" w:cs="Calibri"/>
          <w:sz w:val="22"/>
          <w:szCs w:val="22"/>
        </w:rPr>
        <w:t xml:space="preserve"> and </w:t>
      </w:r>
      <w:r w:rsidR="00E70262" w:rsidRPr="0005301C">
        <w:rPr>
          <w:rFonts w:ascii="Calibri" w:hAnsi="Calibri" w:cs="Calibri"/>
          <w:sz w:val="22"/>
          <w:szCs w:val="22"/>
        </w:rPr>
        <w:t>h</w:t>
      </w:r>
      <w:r w:rsidR="0045206B" w:rsidRPr="0005301C">
        <w:rPr>
          <w:rFonts w:ascii="Calibri" w:hAnsi="Calibri" w:cs="Calibri"/>
          <w:sz w:val="22"/>
          <w:szCs w:val="22"/>
        </w:rPr>
        <w:t>ousing are deeply intertwined, shaping</w:t>
      </w:r>
      <w:r w:rsidR="0045206B" w:rsidRPr="008B61F7">
        <w:rPr>
          <w:rFonts w:ascii="Calibri" w:hAnsi="Calibri" w:cs="Calibri"/>
          <w:sz w:val="22"/>
          <w:szCs w:val="22"/>
        </w:rPr>
        <w:t xml:space="preserve"> and informing each other in complex ways. This entanglement is evident in</w:t>
      </w:r>
      <w:r w:rsidR="00920524" w:rsidRPr="008B61F7">
        <w:rPr>
          <w:rFonts w:ascii="Calibri" w:hAnsi="Calibri" w:cs="Calibri"/>
          <w:sz w:val="22"/>
          <w:szCs w:val="22"/>
        </w:rPr>
        <w:t xml:space="preserve"> various</w:t>
      </w:r>
      <w:r w:rsidR="0045206B" w:rsidRPr="008B61F7">
        <w:rPr>
          <w:rFonts w:ascii="Calibri" w:hAnsi="Calibri" w:cs="Calibri"/>
          <w:sz w:val="22"/>
          <w:szCs w:val="22"/>
        </w:rPr>
        <w:t xml:space="preserve"> </w:t>
      </w:r>
      <w:r w:rsidR="00920524" w:rsidRPr="008B61F7">
        <w:rPr>
          <w:rFonts w:ascii="Calibri" w:hAnsi="Calibri" w:cs="Calibri"/>
          <w:sz w:val="22"/>
          <w:szCs w:val="22"/>
        </w:rPr>
        <w:t xml:space="preserve">policy </w:t>
      </w:r>
      <w:r w:rsidR="0045206B" w:rsidRPr="008B61F7">
        <w:rPr>
          <w:rFonts w:ascii="Calibri" w:hAnsi="Calibri" w:cs="Calibri"/>
          <w:sz w:val="22"/>
          <w:szCs w:val="22"/>
        </w:rPr>
        <w:t>contexts</w:t>
      </w:r>
      <w:r w:rsidR="00920524" w:rsidRPr="008B61F7">
        <w:rPr>
          <w:rFonts w:ascii="Calibri" w:hAnsi="Calibri" w:cs="Calibri"/>
          <w:sz w:val="22"/>
          <w:szCs w:val="22"/>
        </w:rPr>
        <w:t xml:space="preserve"> such as catchment-based systems in the UK (Butler &amp; </w:t>
      </w:r>
      <w:proofErr w:type="spellStart"/>
      <w:r w:rsidR="00920524" w:rsidRPr="008B61F7">
        <w:rPr>
          <w:rFonts w:ascii="Calibri" w:hAnsi="Calibri" w:cs="Calibri"/>
          <w:sz w:val="22"/>
          <w:szCs w:val="22"/>
        </w:rPr>
        <w:t>Hamnett</w:t>
      </w:r>
      <w:proofErr w:type="spellEnd"/>
      <w:r w:rsidR="00920524" w:rsidRPr="008B61F7">
        <w:rPr>
          <w:rFonts w:ascii="Calibri" w:hAnsi="Calibri" w:cs="Calibri"/>
          <w:sz w:val="22"/>
          <w:szCs w:val="22"/>
        </w:rPr>
        <w:t>, 2007)</w:t>
      </w:r>
      <w:r w:rsidR="003D4B59" w:rsidRPr="008B61F7">
        <w:rPr>
          <w:rFonts w:ascii="Calibri" w:hAnsi="Calibri" w:cs="Calibri"/>
          <w:sz w:val="22"/>
          <w:szCs w:val="22"/>
        </w:rPr>
        <w:t xml:space="preserve"> and</w:t>
      </w:r>
      <w:r w:rsidR="003A3AFC" w:rsidRPr="008B61F7">
        <w:rPr>
          <w:rFonts w:ascii="Calibri" w:hAnsi="Calibri" w:cs="Calibri"/>
          <w:sz w:val="22"/>
          <w:szCs w:val="22"/>
        </w:rPr>
        <w:t xml:space="preserve"> China (He &amp; He, 2024</w:t>
      </w:r>
      <w:r w:rsidR="0084337B">
        <w:rPr>
          <w:rFonts w:ascii="Calibri" w:hAnsi="Calibri" w:cs="Calibri" w:hint="eastAsia"/>
          <w:sz w:val="22"/>
          <w:szCs w:val="22"/>
        </w:rPr>
        <w:t>a</w:t>
      </w:r>
      <w:r w:rsidR="003A3AFC" w:rsidRPr="008B61F7">
        <w:rPr>
          <w:rFonts w:ascii="Calibri" w:hAnsi="Calibri" w:cs="Calibri"/>
          <w:sz w:val="22"/>
          <w:szCs w:val="22"/>
        </w:rPr>
        <w:t>)</w:t>
      </w:r>
      <w:r w:rsidR="00715779" w:rsidRPr="008B61F7">
        <w:rPr>
          <w:rFonts w:ascii="Calibri" w:hAnsi="Calibri" w:cs="Calibri"/>
          <w:sz w:val="22"/>
          <w:szCs w:val="22"/>
        </w:rPr>
        <w:t>,</w:t>
      </w:r>
      <w:r w:rsidR="00920524" w:rsidRPr="008B61F7">
        <w:rPr>
          <w:rFonts w:ascii="Calibri" w:hAnsi="Calibri" w:cs="Calibri"/>
          <w:sz w:val="22"/>
          <w:szCs w:val="22"/>
        </w:rPr>
        <w:t xml:space="preserve"> </w:t>
      </w:r>
      <w:r w:rsidR="00244E59" w:rsidRPr="008B61F7">
        <w:rPr>
          <w:rFonts w:ascii="Calibri" w:hAnsi="Calibri" w:cs="Calibri"/>
          <w:sz w:val="22"/>
          <w:szCs w:val="22"/>
        </w:rPr>
        <w:t>and</w:t>
      </w:r>
      <w:r w:rsidR="00920524" w:rsidRPr="008B61F7">
        <w:rPr>
          <w:rFonts w:ascii="Calibri" w:hAnsi="Calibri" w:cs="Calibri"/>
          <w:sz w:val="22"/>
          <w:szCs w:val="22"/>
        </w:rPr>
        <w:t xml:space="preserve"> "free-choice" models with fewer geographical constraints, </w:t>
      </w:r>
      <w:r w:rsidR="00C713F3" w:rsidRPr="008B61F7">
        <w:rPr>
          <w:rFonts w:ascii="Calibri" w:hAnsi="Calibri" w:cs="Calibri"/>
          <w:sz w:val="22"/>
          <w:szCs w:val="22"/>
        </w:rPr>
        <w:t>as</w:t>
      </w:r>
      <w:r w:rsidR="00920524" w:rsidRPr="008B61F7">
        <w:rPr>
          <w:rFonts w:ascii="Calibri" w:hAnsi="Calibri" w:cs="Calibri"/>
          <w:sz w:val="22"/>
          <w:szCs w:val="22"/>
        </w:rPr>
        <w:t xml:space="preserve"> in the Netherlands (</w:t>
      </w:r>
      <w:proofErr w:type="spellStart"/>
      <w:r w:rsidR="00920524" w:rsidRPr="008B61F7">
        <w:rPr>
          <w:rFonts w:ascii="Calibri" w:hAnsi="Calibri" w:cs="Calibri"/>
          <w:sz w:val="22"/>
          <w:szCs w:val="22"/>
        </w:rPr>
        <w:t>Boterman</w:t>
      </w:r>
      <w:proofErr w:type="spellEnd"/>
      <w:r w:rsidR="00920524" w:rsidRPr="008B61F7">
        <w:rPr>
          <w:rFonts w:ascii="Calibri" w:hAnsi="Calibri" w:cs="Calibri"/>
          <w:sz w:val="22"/>
          <w:szCs w:val="22"/>
        </w:rPr>
        <w:t>, 2019)</w:t>
      </w:r>
      <w:r w:rsidR="008F1A53" w:rsidRPr="008B61F7">
        <w:rPr>
          <w:rFonts w:ascii="Calibri" w:hAnsi="Calibri" w:cs="Calibri"/>
          <w:sz w:val="22"/>
          <w:szCs w:val="22"/>
        </w:rPr>
        <w:t>, as people tend to live nearby where chi</w:t>
      </w:r>
      <w:r w:rsidR="009118E1" w:rsidRPr="008B61F7">
        <w:rPr>
          <w:rFonts w:ascii="Calibri" w:hAnsi="Calibri" w:cs="Calibri"/>
          <w:sz w:val="22"/>
          <w:szCs w:val="22"/>
        </w:rPr>
        <w:t>ldren go to school.</w:t>
      </w:r>
    </w:p>
    <w:p w14:paraId="7A55EFAD" w14:textId="77777777" w:rsidR="00A44DE1" w:rsidRPr="008B61F7" w:rsidRDefault="00A44DE1" w:rsidP="008F1A53">
      <w:pPr>
        <w:rPr>
          <w:rFonts w:ascii="Calibri" w:hAnsi="Calibri" w:cs="Calibri"/>
          <w:sz w:val="22"/>
          <w:szCs w:val="22"/>
        </w:rPr>
      </w:pPr>
    </w:p>
    <w:p w14:paraId="4C77F911" w14:textId="2705A261" w:rsidR="00ED76C9" w:rsidRDefault="00ED76C9" w:rsidP="008F1A53">
      <w:pPr>
        <w:rPr>
          <w:rFonts w:ascii="Calibri" w:hAnsi="Calibri" w:cs="Calibri" w:hint="eastAsia"/>
          <w:sz w:val="22"/>
          <w:szCs w:val="22"/>
        </w:rPr>
      </w:pPr>
      <w:r w:rsidRPr="008B61F7">
        <w:rPr>
          <w:rFonts w:ascii="Calibri" w:hAnsi="Calibri" w:cs="Calibri"/>
          <w:sz w:val="22"/>
          <w:szCs w:val="22"/>
        </w:rPr>
        <w:t>Middle-class parents</w:t>
      </w:r>
      <w:proofErr w:type="gramStart"/>
      <w:r w:rsidRPr="008B61F7">
        <w:rPr>
          <w:rFonts w:ascii="Calibri" w:hAnsi="Calibri" w:cs="Calibri"/>
          <w:sz w:val="22"/>
          <w:szCs w:val="22"/>
        </w:rPr>
        <w:t>, in particular, make</w:t>
      </w:r>
      <w:proofErr w:type="gramEnd"/>
      <w:r w:rsidRPr="008B61F7">
        <w:rPr>
          <w:rFonts w:ascii="Calibri" w:hAnsi="Calibri" w:cs="Calibri"/>
          <w:sz w:val="22"/>
          <w:szCs w:val="22"/>
        </w:rPr>
        <w:t xml:space="preserve"> residential decisions at the intersection of housing and education as part of broader strategies for social and economic (re)production. Their </w:t>
      </w:r>
      <w:r w:rsidR="00FC3CA7" w:rsidRPr="008B61F7">
        <w:rPr>
          <w:rFonts w:ascii="Calibri" w:hAnsi="Calibri" w:cs="Calibri"/>
          <w:sz w:val="22"/>
          <w:szCs w:val="22"/>
        </w:rPr>
        <w:t xml:space="preserve">preferences and </w:t>
      </w:r>
      <w:r w:rsidRPr="008B61F7">
        <w:rPr>
          <w:rFonts w:ascii="Calibri" w:hAnsi="Calibri" w:cs="Calibri"/>
          <w:sz w:val="22"/>
          <w:szCs w:val="22"/>
        </w:rPr>
        <w:t>ability to balance priorities in both areas varies considerably, often with significant implications for social-spatial inequalities and urban restructuring processes.</w:t>
      </w:r>
      <w:r w:rsidR="003726EF" w:rsidRPr="008B61F7">
        <w:rPr>
          <w:rFonts w:ascii="Calibri" w:hAnsi="Calibri" w:cs="Calibri"/>
          <w:sz w:val="22"/>
          <w:szCs w:val="22"/>
        </w:rPr>
        <w:t xml:space="preserve"> </w:t>
      </w:r>
      <w:proofErr w:type="spellStart"/>
      <w:r w:rsidR="00EF1789" w:rsidRPr="008B61F7">
        <w:rPr>
          <w:rFonts w:ascii="Calibri" w:hAnsi="Calibri" w:cs="Calibri"/>
          <w:sz w:val="22"/>
          <w:szCs w:val="22"/>
        </w:rPr>
        <w:t>N</w:t>
      </w:r>
      <w:r w:rsidR="003726EF" w:rsidRPr="008B61F7">
        <w:rPr>
          <w:rFonts w:ascii="Calibri" w:hAnsi="Calibri" w:cs="Calibri"/>
          <w:sz w:val="22"/>
          <w:szCs w:val="22"/>
        </w:rPr>
        <w:t>eighborhoods</w:t>
      </w:r>
      <w:proofErr w:type="spellEnd"/>
      <w:r w:rsidR="003726EF" w:rsidRPr="008B61F7">
        <w:rPr>
          <w:rFonts w:ascii="Calibri" w:hAnsi="Calibri" w:cs="Calibri"/>
          <w:sz w:val="22"/>
          <w:szCs w:val="22"/>
        </w:rPr>
        <w:t xml:space="preserve"> near higher-quality schools frequently command premium property prices (Orford, 2018).</w:t>
      </w:r>
      <w:r w:rsidR="000944D3" w:rsidRPr="008B61F7">
        <w:rPr>
          <w:rFonts w:ascii="Calibri" w:hAnsi="Calibri" w:cs="Calibri"/>
          <w:sz w:val="22"/>
          <w:szCs w:val="22"/>
        </w:rPr>
        <w:t xml:space="preserve"> Families with greater economic, cultural, and social capital are better equipped to move into such privileged areas, capitalizing on housing price inflation and enhanced schooling opportunities</w:t>
      </w:r>
      <w:r w:rsidR="00F90FC3" w:rsidRPr="008B61F7">
        <w:rPr>
          <w:rFonts w:ascii="Calibri" w:hAnsi="Calibri" w:cs="Calibri"/>
          <w:sz w:val="22"/>
          <w:szCs w:val="22"/>
        </w:rPr>
        <w:t xml:space="preserve">; </w:t>
      </w:r>
      <w:r w:rsidR="00AF604B" w:rsidRPr="008B61F7">
        <w:rPr>
          <w:rFonts w:ascii="Calibri" w:hAnsi="Calibri" w:cs="Calibri"/>
          <w:sz w:val="22"/>
          <w:szCs w:val="22"/>
        </w:rPr>
        <w:t>t</w:t>
      </w:r>
      <w:r w:rsidR="00F90FC3" w:rsidRPr="008B61F7">
        <w:rPr>
          <w:rFonts w:ascii="Calibri" w:hAnsi="Calibri" w:cs="Calibri"/>
          <w:sz w:val="22"/>
          <w:szCs w:val="22"/>
        </w:rPr>
        <w:t>his process reinforces existing social-spatial inequalities (He &amp; He, 2024</w:t>
      </w:r>
      <w:r w:rsidR="00F4705E">
        <w:rPr>
          <w:rFonts w:ascii="Calibri" w:hAnsi="Calibri" w:cs="Calibri" w:hint="eastAsia"/>
          <w:sz w:val="22"/>
          <w:szCs w:val="22"/>
        </w:rPr>
        <w:t>a</w:t>
      </w:r>
      <w:r w:rsidR="00F90FC3" w:rsidRPr="008B61F7">
        <w:rPr>
          <w:rFonts w:ascii="Calibri" w:hAnsi="Calibri" w:cs="Calibri"/>
          <w:sz w:val="22"/>
          <w:szCs w:val="22"/>
        </w:rPr>
        <w:t>).</w:t>
      </w:r>
      <w:r w:rsidR="00556835" w:rsidRPr="008B61F7">
        <w:rPr>
          <w:rFonts w:ascii="Calibri" w:hAnsi="Calibri" w:cs="Calibri"/>
          <w:sz w:val="22"/>
          <w:szCs w:val="22"/>
        </w:rPr>
        <w:t xml:space="preserve"> </w:t>
      </w:r>
      <w:r w:rsidR="00CE1FAD">
        <w:rPr>
          <w:rFonts w:ascii="Calibri" w:hAnsi="Calibri" w:cs="Calibri"/>
          <w:sz w:val="22"/>
          <w:szCs w:val="22"/>
        </w:rPr>
        <w:t>I</w:t>
      </w:r>
      <w:r w:rsidR="00CE1FAD">
        <w:rPr>
          <w:rFonts w:ascii="Calibri" w:hAnsi="Calibri" w:cs="Calibri" w:hint="eastAsia"/>
          <w:sz w:val="22"/>
          <w:szCs w:val="22"/>
        </w:rPr>
        <w:t>n other cases, m</w:t>
      </w:r>
      <w:r w:rsidR="00556835" w:rsidRPr="008B61F7">
        <w:rPr>
          <w:rFonts w:ascii="Calibri" w:hAnsi="Calibri" w:cs="Calibri"/>
          <w:sz w:val="22"/>
          <w:szCs w:val="22"/>
        </w:rPr>
        <w:t>iddle-class parents tend to avoid schools with majority ethnic-minority populations (</w:t>
      </w:r>
      <w:proofErr w:type="spellStart"/>
      <w:r w:rsidR="00556835" w:rsidRPr="008B61F7">
        <w:rPr>
          <w:rFonts w:ascii="Calibri" w:hAnsi="Calibri" w:cs="Calibri"/>
          <w:sz w:val="22"/>
          <w:szCs w:val="22"/>
        </w:rPr>
        <w:t>Boterman</w:t>
      </w:r>
      <w:proofErr w:type="spellEnd"/>
      <w:r w:rsidR="00556835" w:rsidRPr="008B61F7">
        <w:rPr>
          <w:rFonts w:ascii="Calibri" w:hAnsi="Calibri" w:cs="Calibri"/>
          <w:sz w:val="22"/>
          <w:szCs w:val="22"/>
        </w:rPr>
        <w:t>, 2012)</w:t>
      </w:r>
      <w:r w:rsidR="00917E21" w:rsidRPr="008B61F7">
        <w:rPr>
          <w:rFonts w:ascii="Calibri" w:hAnsi="Calibri" w:cs="Calibri"/>
          <w:sz w:val="22"/>
          <w:szCs w:val="22"/>
        </w:rPr>
        <w:t xml:space="preserve"> and drive ethnicity segregation. </w:t>
      </w:r>
      <w:r w:rsidR="00CE1FAD">
        <w:rPr>
          <w:rFonts w:ascii="Calibri" w:hAnsi="Calibri" w:cs="Calibri" w:hint="eastAsia"/>
          <w:sz w:val="22"/>
          <w:szCs w:val="22"/>
        </w:rPr>
        <w:t>I</w:t>
      </w:r>
      <w:r w:rsidR="00917E21" w:rsidRPr="008B61F7">
        <w:rPr>
          <w:rFonts w:ascii="Calibri" w:hAnsi="Calibri" w:cs="Calibri"/>
          <w:sz w:val="22"/>
          <w:szCs w:val="22"/>
        </w:rPr>
        <w:t xml:space="preserve">n England, </w:t>
      </w:r>
      <w:r w:rsidR="00CE1FAD">
        <w:rPr>
          <w:rFonts w:ascii="Calibri" w:hAnsi="Calibri" w:cs="Calibri" w:hint="eastAsia"/>
          <w:sz w:val="22"/>
          <w:szCs w:val="22"/>
        </w:rPr>
        <w:t xml:space="preserve">research shows that </w:t>
      </w:r>
      <w:r w:rsidR="00917E21" w:rsidRPr="008B61F7">
        <w:rPr>
          <w:rFonts w:ascii="Calibri" w:hAnsi="Calibri" w:cs="Calibri"/>
          <w:sz w:val="22"/>
          <w:szCs w:val="22"/>
        </w:rPr>
        <w:t xml:space="preserve">the desire for child-friendly environments has </w:t>
      </w:r>
      <w:r w:rsidR="007B7173" w:rsidRPr="008B61F7">
        <w:rPr>
          <w:rFonts w:ascii="Calibri" w:hAnsi="Calibri" w:cs="Calibri"/>
          <w:sz w:val="22"/>
          <w:szCs w:val="22"/>
        </w:rPr>
        <w:t>fuelled</w:t>
      </w:r>
      <w:r w:rsidR="00917E21" w:rsidRPr="008B61F7">
        <w:rPr>
          <w:rFonts w:ascii="Calibri" w:hAnsi="Calibri" w:cs="Calibri"/>
          <w:sz w:val="22"/>
          <w:szCs w:val="22"/>
        </w:rPr>
        <w:t xml:space="preserve"> education-led rural gentrification (Smith &amp; Higley, 2012). </w:t>
      </w:r>
      <w:r w:rsidR="003228A6">
        <w:rPr>
          <w:rFonts w:ascii="Calibri" w:hAnsi="Calibri" w:cs="Calibri"/>
          <w:sz w:val="22"/>
          <w:szCs w:val="22"/>
        </w:rPr>
        <w:t>D</w:t>
      </w:r>
      <w:r w:rsidR="003228A6">
        <w:rPr>
          <w:rFonts w:ascii="Calibri" w:hAnsi="Calibri" w:cs="Calibri" w:hint="eastAsia"/>
          <w:sz w:val="22"/>
          <w:szCs w:val="22"/>
        </w:rPr>
        <w:t xml:space="preserve">espite </w:t>
      </w:r>
      <w:r w:rsidR="003228A6">
        <w:rPr>
          <w:rFonts w:ascii="Calibri" w:hAnsi="Calibri" w:cs="Calibri"/>
          <w:sz w:val="22"/>
          <w:szCs w:val="22"/>
        </w:rPr>
        <w:t>the</w:t>
      </w:r>
      <w:r w:rsidR="003228A6">
        <w:rPr>
          <w:rFonts w:ascii="Calibri" w:hAnsi="Calibri" w:cs="Calibri" w:hint="eastAsia"/>
          <w:sz w:val="22"/>
          <w:szCs w:val="22"/>
        </w:rPr>
        <w:t xml:space="preserve"> significant </w:t>
      </w:r>
      <w:r w:rsidR="002D3CF1">
        <w:rPr>
          <w:rFonts w:ascii="Calibri" w:hAnsi="Calibri" w:cs="Calibri"/>
          <w:sz w:val="22"/>
          <w:szCs w:val="22"/>
        </w:rPr>
        <w:t>consequences,</w:t>
      </w:r>
      <w:r w:rsidR="002D3CF1" w:rsidRPr="008B61F7">
        <w:rPr>
          <w:rFonts w:ascii="Calibri" w:hAnsi="Calibri" w:cs="Calibri"/>
          <w:sz w:val="22"/>
          <w:szCs w:val="22"/>
        </w:rPr>
        <w:t xml:space="preserve"> systematic</w:t>
      </w:r>
      <w:r w:rsidR="00917E21" w:rsidRPr="008B61F7">
        <w:rPr>
          <w:rFonts w:ascii="Calibri" w:hAnsi="Calibri" w:cs="Calibri"/>
          <w:sz w:val="22"/>
          <w:szCs w:val="22"/>
        </w:rPr>
        <w:t xml:space="preserve"> research into the</w:t>
      </w:r>
      <w:r w:rsidR="007B7173">
        <w:rPr>
          <w:rFonts w:ascii="Calibri" w:hAnsi="Calibri" w:cs="Calibri" w:hint="eastAsia"/>
          <w:sz w:val="22"/>
          <w:szCs w:val="22"/>
        </w:rPr>
        <w:t xml:space="preserve"> processes,</w:t>
      </w:r>
      <w:r w:rsidR="00917E21" w:rsidRPr="008B61F7">
        <w:rPr>
          <w:rFonts w:ascii="Calibri" w:hAnsi="Calibri" w:cs="Calibri"/>
          <w:sz w:val="22"/>
          <w:szCs w:val="22"/>
        </w:rPr>
        <w:t xml:space="preserve"> strategies and patterns of </w:t>
      </w:r>
      <w:r w:rsidR="003B0621">
        <w:rPr>
          <w:rFonts w:ascii="Calibri" w:hAnsi="Calibri" w:cs="Calibri" w:hint="eastAsia"/>
          <w:sz w:val="22"/>
          <w:szCs w:val="22"/>
        </w:rPr>
        <w:t>education-led</w:t>
      </w:r>
      <w:r w:rsidR="00917E21" w:rsidRPr="008B61F7">
        <w:rPr>
          <w:rFonts w:ascii="Calibri" w:hAnsi="Calibri" w:cs="Calibri"/>
          <w:sz w:val="22"/>
          <w:szCs w:val="22"/>
        </w:rPr>
        <w:t xml:space="preserve"> residential (</w:t>
      </w:r>
      <w:proofErr w:type="spellStart"/>
      <w:r w:rsidR="00917E21" w:rsidRPr="008B61F7">
        <w:rPr>
          <w:rFonts w:ascii="Calibri" w:hAnsi="Calibri" w:cs="Calibri"/>
          <w:sz w:val="22"/>
          <w:szCs w:val="22"/>
        </w:rPr>
        <w:t>im</w:t>
      </w:r>
      <w:proofErr w:type="spellEnd"/>
      <w:r w:rsidR="00917E21" w:rsidRPr="008B61F7">
        <w:rPr>
          <w:rFonts w:ascii="Calibri" w:hAnsi="Calibri" w:cs="Calibri"/>
          <w:sz w:val="22"/>
          <w:szCs w:val="22"/>
        </w:rPr>
        <w:t xml:space="preserve">)mobilities </w:t>
      </w:r>
      <w:r w:rsidR="00167BDB">
        <w:rPr>
          <w:rFonts w:ascii="Calibri" w:hAnsi="Calibri" w:cs="Calibri" w:hint="eastAsia"/>
          <w:sz w:val="22"/>
          <w:szCs w:val="22"/>
        </w:rPr>
        <w:t>are still underexplored.</w:t>
      </w:r>
    </w:p>
    <w:p w14:paraId="10DEF25E" w14:textId="77777777" w:rsidR="00A44DE1" w:rsidRPr="008B61F7" w:rsidRDefault="00A44DE1" w:rsidP="008F1A53">
      <w:pPr>
        <w:rPr>
          <w:rFonts w:ascii="Calibri" w:hAnsi="Calibri" w:cs="Calibri"/>
          <w:sz w:val="22"/>
          <w:szCs w:val="22"/>
        </w:rPr>
      </w:pPr>
    </w:p>
    <w:p w14:paraId="489374EE" w14:textId="3BDAE489" w:rsidR="007A5BD7" w:rsidRPr="008B61F7" w:rsidRDefault="00D56D84" w:rsidP="008F1A53">
      <w:pPr>
        <w:rPr>
          <w:rFonts w:ascii="Calibri" w:hAnsi="Calibri" w:cs="Calibri"/>
          <w:sz w:val="22"/>
          <w:szCs w:val="22"/>
        </w:rPr>
      </w:pPr>
      <w:r>
        <w:rPr>
          <w:rFonts w:ascii="Calibri" w:hAnsi="Calibri" w:cs="Calibri"/>
          <w:sz w:val="22"/>
          <w:szCs w:val="22"/>
        </w:rPr>
        <w:t>E</w:t>
      </w:r>
      <w:r>
        <w:rPr>
          <w:rFonts w:ascii="Calibri" w:hAnsi="Calibri" w:cs="Calibri" w:hint="eastAsia"/>
          <w:sz w:val="22"/>
          <w:szCs w:val="22"/>
        </w:rPr>
        <w:t>ducation-led r</w:t>
      </w:r>
      <w:r w:rsidR="00F815B6" w:rsidRPr="008B61F7">
        <w:rPr>
          <w:rFonts w:ascii="Calibri" w:hAnsi="Calibri" w:cs="Calibri"/>
          <w:sz w:val="22"/>
          <w:szCs w:val="22"/>
        </w:rPr>
        <w:t>esidential mobility</w:t>
      </w:r>
      <w:r w:rsidR="009B7EFA">
        <w:rPr>
          <w:rFonts w:ascii="Calibri" w:hAnsi="Calibri" w:cs="Calibri" w:hint="eastAsia"/>
          <w:sz w:val="22"/>
          <w:szCs w:val="22"/>
        </w:rPr>
        <w:t xml:space="preserve"> of </w:t>
      </w:r>
      <w:proofErr w:type="gramStart"/>
      <w:r w:rsidR="009B7EFA">
        <w:rPr>
          <w:rFonts w:ascii="Calibri" w:hAnsi="Calibri" w:cs="Calibri" w:hint="eastAsia"/>
          <w:sz w:val="22"/>
          <w:szCs w:val="22"/>
        </w:rPr>
        <w:t>middle class</w:t>
      </w:r>
      <w:proofErr w:type="gramEnd"/>
      <w:r w:rsidR="009B7EFA">
        <w:rPr>
          <w:rFonts w:ascii="Calibri" w:hAnsi="Calibri" w:cs="Calibri" w:hint="eastAsia"/>
          <w:sz w:val="22"/>
          <w:szCs w:val="22"/>
        </w:rPr>
        <w:t xml:space="preserve"> parents</w:t>
      </w:r>
      <w:r w:rsidR="00F815B6" w:rsidRPr="008B61F7">
        <w:rPr>
          <w:rFonts w:ascii="Calibri" w:hAnsi="Calibri" w:cs="Calibri" w:hint="eastAsia"/>
          <w:sz w:val="22"/>
          <w:szCs w:val="22"/>
        </w:rPr>
        <w:t>,</w:t>
      </w:r>
      <w:r w:rsidR="00F815B6" w:rsidRPr="008B61F7">
        <w:rPr>
          <w:rFonts w:ascii="Calibri" w:hAnsi="Calibri" w:cs="Calibri"/>
          <w:sz w:val="22"/>
          <w:szCs w:val="22"/>
        </w:rPr>
        <w:t xml:space="preserve"> however, is not always a bottom-up phenomenon driven solely by individual families. Education and housing,</w:t>
      </w:r>
      <w:r w:rsidR="00B50DCD" w:rsidRPr="008B61F7">
        <w:rPr>
          <w:rFonts w:ascii="Calibri" w:hAnsi="Calibri" w:cs="Calibri"/>
          <w:sz w:val="22"/>
          <w:szCs w:val="22"/>
        </w:rPr>
        <w:t xml:space="preserve"> </w:t>
      </w:r>
      <w:r w:rsidR="0047657B" w:rsidRPr="008B61F7">
        <w:rPr>
          <w:rFonts w:ascii="Calibri" w:hAnsi="Calibri" w:cs="Calibri"/>
          <w:sz w:val="22"/>
          <w:szCs w:val="22"/>
        </w:rPr>
        <w:t>as critical infrastructures for social reproduction,</w:t>
      </w:r>
      <w:r w:rsidR="00B442CF" w:rsidRPr="008B61F7">
        <w:rPr>
          <w:rFonts w:ascii="Calibri" w:hAnsi="Calibri" w:cs="Calibri"/>
          <w:sz w:val="22"/>
          <w:szCs w:val="22"/>
        </w:rPr>
        <w:t xml:space="preserve"> are implicated in </w:t>
      </w:r>
      <w:r w:rsidR="008A4E39" w:rsidRPr="008B61F7">
        <w:rPr>
          <w:rFonts w:ascii="Calibri" w:hAnsi="Calibri" w:cs="Calibri"/>
          <w:sz w:val="22"/>
          <w:szCs w:val="22"/>
        </w:rPr>
        <w:t xml:space="preserve">the landscape of </w:t>
      </w:r>
      <w:r w:rsidR="00A41F70" w:rsidRPr="008B61F7">
        <w:rPr>
          <w:rFonts w:ascii="Calibri" w:hAnsi="Calibri" w:cs="Calibri"/>
          <w:sz w:val="22"/>
          <w:szCs w:val="22"/>
        </w:rPr>
        <w:t>morality, aspiration and desire</w:t>
      </w:r>
      <w:r w:rsidR="009D6649" w:rsidRPr="008B61F7">
        <w:rPr>
          <w:rFonts w:ascii="Calibri" w:hAnsi="Calibri" w:cs="Calibri"/>
          <w:sz w:val="22"/>
          <w:szCs w:val="22"/>
        </w:rPr>
        <w:t xml:space="preserve"> and hence susceptible for </w:t>
      </w:r>
      <w:r w:rsidR="00C70553" w:rsidRPr="008B61F7">
        <w:rPr>
          <w:rFonts w:ascii="Calibri" w:hAnsi="Calibri" w:cs="Calibri"/>
          <w:sz w:val="22"/>
          <w:szCs w:val="22"/>
        </w:rPr>
        <w:t>leverage</w:t>
      </w:r>
      <w:r w:rsidR="006C108A" w:rsidRPr="008B61F7">
        <w:rPr>
          <w:rFonts w:ascii="Calibri" w:hAnsi="Calibri" w:cs="Calibri"/>
          <w:sz w:val="22"/>
          <w:szCs w:val="22"/>
        </w:rPr>
        <w:t xml:space="preserve"> by the state and market</w:t>
      </w:r>
      <w:r w:rsidR="003B170D">
        <w:rPr>
          <w:rFonts w:ascii="Calibri" w:hAnsi="Calibri" w:cs="Calibri" w:hint="eastAsia"/>
          <w:sz w:val="22"/>
          <w:szCs w:val="22"/>
        </w:rPr>
        <w:t xml:space="preserve"> (He &amp; He, 2024b)</w:t>
      </w:r>
      <w:r w:rsidR="00B81561" w:rsidRPr="008B61F7">
        <w:rPr>
          <w:rFonts w:ascii="Calibri" w:hAnsi="Calibri" w:cs="Calibri"/>
          <w:sz w:val="22"/>
          <w:szCs w:val="22"/>
        </w:rPr>
        <w:t>. Additionally,</w:t>
      </w:r>
      <w:r w:rsidR="00406443" w:rsidRPr="008B61F7">
        <w:rPr>
          <w:rFonts w:ascii="Calibri" w:hAnsi="Calibri" w:cs="Calibri"/>
          <w:sz w:val="22"/>
          <w:szCs w:val="22"/>
        </w:rPr>
        <w:t xml:space="preserve"> as </w:t>
      </w:r>
      <w:r w:rsidR="00725555" w:rsidRPr="008B61F7">
        <w:rPr>
          <w:rFonts w:ascii="Calibri" w:hAnsi="Calibri" w:cs="Calibri"/>
          <w:sz w:val="22"/>
          <w:szCs w:val="22"/>
        </w:rPr>
        <w:t>“infrastructures” for social reproductio</w:t>
      </w:r>
      <w:r w:rsidR="004E23A7" w:rsidRPr="008B61F7">
        <w:rPr>
          <w:rFonts w:ascii="Calibri" w:hAnsi="Calibri" w:cs="Calibri"/>
          <w:sz w:val="22"/>
          <w:szCs w:val="22"/>
        </w:rPr>
        <w:t>n</w:t>
      </w:r>
      <w:r w:rsidR="007E5D3D" w:rsidRPr="008B61F7">
        <w:rPr>
          <w:rFonts w:ascii="Calibri" w:hAnsi="Calibri" w:cs="Calibri"/>
          <w:sz w:val="22"/>
          <w:szCs w:val="22"/>
        </w:rPr>
        <w:t xml:space="preserve">, they are also </w:t>
      </w:r>
      <w:r w:rsidR="00880F3D" w:rsidRPr="008B61F7">
        <w:rPr>
          <w:rFonts w:ascii="Calibri" w:hAnsi="Calibri" w:cs="Calibri"/>
          <w:sz w:val="22"/>
          <w:szCs w:val="22"/>
        </w:rPr>
        <w:t>capital intensive</w:t>
      </w:r>
      <w:r w:rsidR="006E31E1" w:rsidRPr="008B61F7">
        <w:rPr>
          <w:rFonts w:ascii="Calibri" w:hAnsi="Calibri" w:cs="Calibri"/>
          <w:sz w:val="22"/>
          <w:szCs w:val="22"/>
        </w:rPr>
        <w:t xml:space="preserve"> and key sites for wealth accumulation (McFadden, 2023).</w:t>
      </w:r>
      <w:r w:rsidR="00CD0D23" w:rsidRPr="008B61F7">
        <w:rPr>
          <w:rFonts w:ascii="Calibri" w:hAnsi="Calibri" w:cs="Calibri"/>
          <w:sz w:val="22"/>
          <w:szCs w:val="22"/>
        </w:rPr>
        <w:t xml:space="preserve"> Research in China</w:t>
      </w:r>
      <w:r w:rsidR="00624CC2" w:rsidRPr="008B61F7">
        <w:rPr>
          <w:rFonts w:ascii="Calibri" w:hAnsi="Calibri" w:cs="Calibri"/>
          <w:sz w:val="22"/>
          <w:szCs w:val="22"/>
        </w:rPr>
        <w:t xml:space="preserve">, </w:t>
      </w:r>
      <w:r w:rsidR="00E33536" w:rsidRPr="008B61F7">
        <w:rPr>
          <w:rFonts w:ascii="Calibri" w:hAnsi="Calibri" w:cs="Calibri"/>
          <w:sz w:val="22"/>
          <w:szCs w:val="22"/>
        </w:rPr>
        <w:t xml:space="preserve">shows that </w:t>
      </w:r>
      <w:r w:rsidR="004A071F" w:rsidRPr="008B61F7">
        <w:rPr>
          <w:rFonts w:ascii="Calibri" w:hAnsi="Calibri" w:cs="Calibri"/>
          <w:sz w:val="22"/>
          <w:szCs w:val="22"/>
        </w:rPr>
        <w:t>state</w:t>
      </w:r>
      <w:r w:rsidR="00ED77EA">
        <w:rPr>
          <w:rFonts w:ascii="Calibri" w:hAnsi="Calibri" w:cs="Calibri" w:hint="eastAsia"/>
          <w:sz w:val="22"/>
          <w:szCs w:val="22"/>
        </w:rPr>
        <w:t xml:space="preserve"> and </w:t>
      </w:r>
      <w:r w:rsidR="004A071F" w:rsidRPr="008B61F7">
        <w:rPr>
          <w:rFonts w:ascii="Calibri" w:hAnsi="Calibri" w:cs="Calibri"/>
          <w:sz w:val="22"/>
          <w:szCs w:val="22"/>
        </w:rPr>
        <w:t>market strategically facilitate the suburbanisation of elite schools</w:t>
      </w:r>
      <w:r w:rsidR="003109C5" w:rsidRPr="008B61F7">
        <w:rPr>
          <w:rFonts w:ascii="Calibri" w:hAnsi="Calibri" w:cs="Calibri"/>
          <w:sz w:val="22"/>
          <w:szCs w:val="22"/>
        </w:rPr>
        <w:t xml:space="preserve"> to </w:t>
      </w:r>
      <w:r w:rsidR="00380B86" w:rsidRPr="008B61F7">
        <w:rPr>
          <w:rFonts w:ascii="Calibri" w:hAnsi="Calibri" w:cs="Calibri"/>
          <w:sz w:val="22"/>
          <w:szCs w:val="22"/>
        </w:rPr>
        <w:t>strategic development areas including high-tech industrial parks</w:t>
      </w:r>
      <w:r w:rsidR="007A5BD7" w:rsidRPr="008B61F7">
        <w:rPr>
          <w:rFonts w:ascii="Calibri" w:hAnsi="Calibri" w:cs="Calibri"/>
          <w:sz w:val="22"/>
          <w:szCs w:val="22"/>
        </w:rPr>
        <w:t>,</w:t>
      </w:r>
      <w:r w:rsidR="00380B86" w:rsidRPr="008B61F7">
        <w:rPr>
          <w:rFonts w:ascii="Calibri" w:hAnsi="Calibri" w:cs="Calibri"/>
          <w:sz w:val="22"/>
          <w:szCs w:val="22"/>
        </w:rPr>
        <w:t xml:space="preserve"> new towns</w:t>
      </w:r>
      <w:r w:rsidR="007A5BD7" w:rsidRPr="008B61F7">
        <w:rPr>
          <w:rFonts w:ascii="Calibri" w:hAnsi="Calibri" w:cs="Calibri"/>
          <w:sz w:val="22"/>
          <w:szCs w:val="22"/>
        </w:rPr>
        <w:t xml:space="preserve"> and urban (re)</w:t>
      </w:r>
      <w:r w:rsidR="00ED77EA">
        <w:rPr>
          <w:rFonts w:ascii="Calibri" w:hAnsi="Calibri" w:cs="Calibri"/>
          <w:sz w:val="22"/>
          <w:szCs w:val="22"/>
        </w:rPr>
        <w:t>de</w:t>
      </w:r>
      <w:r w:rsidR="00ED77EA" w:rsidRPr="008B61F7">
        <w:rPr>
          <w:rFonts w:ascii="Calibri" w:hAnsi="Calibri" w:cs="Calibri"/>
          <w:sz w:val="22"/>
          <w:szCs w:val="22"/>
        </w:rPr>
        <w:t>velopment</w:t>
      </w:r>
      <w:r w:rsidR="007A5BD7" w:rsidRPr="008B61F7">
        <w:rPr>
          <w:rFonts w:ascii="Calibri" w:hAnsi="Calibri" w:cs="Calibri"/>
          <w:sz w:val="22"/>
          <w:szCs w:val="22"/>
        </w:rPr>
        <w:t xml:space="preserve"> area</w:t>
      </w:r>
      <w:r w:rsidR="00ED77EA">
        <w:rPr>
          <w:rFonts w:ascii="Calibri" w:hAnsi="Calibri" w:cs="Calibri" w:hint="eastAsia"/>
          <w:sz w:val="22"/>
          <w:szCs w:val="22"/>
        </w:rPr>
        <w:t>s</w:t>
      </w:r>
      <w:r w:rsidR="007A5BD7" w:rsidRPr="008B61F7">
        <w:rPr>
          <w:rFonts w:ascii="Calibri" w:hAnsi="Calibri" w:cs="Calibri"/>
          <w:sz w:val="22"/>
          <w:szCs w:val="22"/>
        </w:rPr>
        <w:t xml:space="preserve">, </w:t>
      </w:r>
      <w:r w:rsidR="0015701A" w:rsidRPr="008B61F7">
        <w:rPr>
          <w:rFonts w:ascii="Calibri" w:hAnsi="Calibri" w:cs="Calibri"/>
          <w:sz w:val="22"/>
          <w:szCs w:val="22"/>
        </w:rPr>
        <w:t>to</w:t>
      </w:r>
      <w:r w:rsidR="007A5BD7" w:rsidRPr="008B61F7">
        <w:rPr>
          <w:rFonts w:ascii="Calibri" w:hAnsi="Calibri" w:cs="Calibri"/>
          <w:sz w:val="22"/>
          <w:szCs w:val="22"/>
        </w:rPr>
        <w:t xml:space="preserve"> attract </w:t>
      </w:r>
      <w:r w:rsidR="0015701A" w:rsidRPr="008B61F7">
        <w:rPr>
          <w:rFonts w:ascii="Calibri" w:hAnsi="Calibri" w:cs="Calibri"/>
          <w:sz w:val="22"/>
          <w:szCs w:val="22"/>
        </w:rPr>
        <w:t>the in-mobilit</w:t>
      </w:r>
      <w:r w:rsidR="00530958">
        <w:rPr>
          <w:rFonts w:ascii="Calibri" w:hAnsi="Calibri" w:cs="Calibri" w:hint="eastAsia"/>
          <w:sz w:val="22"/>
          <w:szCs w:val="22"/>
        </w:rPr>
        <w:t>ies</w:t>
      </w:r>
      <w:r w:rsidR="0015701A" w:rsidRPr="008B61F7">
        <w:rPr>
          <w:rFonts w:ascii="Calibri" w:hAnsi="Calibri" w:cs="Calibri"/>
          <w:sz w:val="22"/>
          <w:szCs w:val="22"/>
        </w:rPr>
        <w:t xml:space="preserve"> of highly skilled families, </w:t>
      </w:r>
      <w:r w:rsidR="00ED77EA">
        <w:rPr>
          <w:rFonts w:ascii="Calibri" w:hAnsi="Calibri" w:cs="Calibri" w:hint="eastAsia"/>
          <w:sz w:val="22"/>
          <w:szCs w:val="22"/>
        </w:rPr>
        <w:t xml:space="preserve">who are </w:t>
      </w:r>
      <w:r w:rsidR="0015701A" w:rsidRPr="008B61F7">
        <w:rPr>
          <w:rFonts w:ascii="Calibri" w:hAnsi="Calibri" w:cs="Calibri"/>
          <w:sz w:val="22"/>
          <w:szCs w:val="22"/>
        </w:rPr>
        <w:t>driven by the idea of good and responsible parent</w:t>
      </w:r>
      <w:r w:rsidR="00ED77EA">
        <w:rPr>
          <w:rFonts w:ascii="Calibri" w:hAnsi="Calibri" w:cs="Calibri" w:hint="eastAsia"/>
          <w:sz w:val="22"/>
          <w:szCs w:val="22"/>
        </w:rPr>
        <w:t>s,</w:t>
      </w:r>
      <w:r w:rsidR="00706BD1" w:rsidRPr="008B61F7">
        <w:rPr>
          <w:rFonts w:ascii="Calibri" w:hAnsi="Calibri" w:cs="Calibri"/>
          <w:sz w:val="22"/>
          <w:szCs w:val="22"/>
        </w:rPr>
        <w:t xml:space="preserve"> </w:t>
      </w:r>
      <w:r w:rsidR="00ED77EA">
        <w:rPr>
          <w:rFonts w:ascii="Calibri" w:hAnsi="Calibri" w:cs="Calibri"/>
          <w:sz w:val="22"/>
          <w:szCs w:val="22"/>
        </w:rPr>
        <w:t>and</w:t>
      </w:r>
      <w:r w:rsidR="00ED77EA">
        <w:rPr>
          <w:rFonts w:ascii="Calibri" w:hAnsi="Calibri" w:cs="Calibri" w:hint="eastAsia"/>
          <w:sz w:val="22"/>
          <w:szCs w:val="22"/>
        </w:rPr>
        <w:t xml:space="preserve"> to</w:t>
      </w:r>
      <w:r w:rsidR="00706BD1" w:rsidRPr="008B61F7">
        <w:rPr>
          <w:rFonts w:ascii="Calibri" w:hAnsi="Calibri" w:cs="Calibri"/>
          <w:sz w:val="22"/>
          <w:szCs w:val="22"/>
        </w:rPr>
        <w:t xml:space="preserve"> stimulate urban renewal and capital accumulation </w:t>
      </w:r>
      <w:r w:rsidR="006575C2" w:rsidRPr="008B61F7">
        <w:rPr>
          <w:rFonts w:ascii="Calibri" w:hAnsi="Calibri" w:cs="Calibri"/>
          <w:sz w:val="22"/>
          <w:szCs w:val="22"/>
        </w:rPr>
        <w:t>in these areas</w:t>
      </w:r>
      <w:r w:rsidR="006E5C77">
        <w:rPr>
          <w:rFonts w:ascii="Calibri" w:hAnsi="Calibri" w:cs="Calibri" w:hint="eastAsia"/>
          <w:sz w:val="22"/>
          <w:szCs w:val="22"/>
        </w:rPr>
        <w:t xml:space="preserve"> </w:t>
      </w:r>
      <w:r w:rsidR="006E5C77" w:rsidRPr="008B61F7">
        <w:rPr>
          <w:rFonts w:ascii="Calibri" w:hAnsi="Calibri" w:cs="Calibri"/>
          <w:sz w:val="22"/>
          <w:szCs w:val="22"/>
        </w:rPr>
        <w:t>(He &amp; He, 2024</w:t>
      </w:r>
      <w:r w:rsidR="00B67EFD">
        <w:rPr>
          <w:rFonts w:ascii="Calibri" w:hAnsi="Calibri" w:cs="Calibri" w:hint="eastAsia"/>
          <w:sz w:val="22"/>
          <w:szCs w:val="22"/>
        </w:rPr>
        <w:t>a,b</w:t>
      </w:r>
      <w:r w:rsidR="006E5C77" w:rsidRPr="008B61F7">
        <w:rPr>
          <w:rFonts w:ascii="Calibri" w:hAnsi="Calibri" w:cs="Calibri"/>
          <w:sz w:val="22"/>
          <w:szCs w:val="22"/>
        </w:rPr>
        <w:t>)</w:t>
      </w:r>
      <w:r w:rsidR="006575C2" w:rsidRPr="008B61F7">
        <w:rPr>
          <w:rFonts w:ascii="Calibri" w:hAnsi="Calibri" w:cs="Calibri"/>
          <w:sz w:val="22"/>
          <w:szCs w:val="22"/>
        </w:rPr>
        <w:t>.</w:t>
      </w:r>
      <w:r w:rsidR="00344AD2" w:rsidRPr="008B61F7">
        <w:rPr>
          <w:rFonts w:ascii="Calibri" w:hAnsi="Calibri" w:cs="Calibri"/>
          <w:sz w:val="22"/>
          <w:szCs w:val="22"/>
        </w:rPr>
        <w:t xml:space="preserve"> These dynamics</w:t>
      </w:r>
      <w:r w:rsidR="00F33A20" w:rsidRPr="008B61F7">
        <w:rPr>
          <w:rFonts w:ascii="Calibri" w:hAnsi="Calibri" w:cs="Calibri"/>
          <w:sz w:val="22"/>
          <w:szCs w:val="22"/>
        </w:rPr>
        <w:t xml:space="preserve"> </w:t>
      </w:r>
      <w:r w:rsidR="00344AD2" w:rsidRPr="008B61F7">
        <w:rPr>
          <w:rFonts w:ascii="Calibri" w:hAnsi="Calibri" w:cs="Calibri"/>
          <w:sz w:val="22"/>
          <w:szCs w:val="22"/>
        </w:rPr>
        <w:t>highlight the need for a deeper understanding of the role of state and market actors in facilitating</w:t>
      </w:r>
      <w:r w:rsidR="00FA7C30">
        <w:rPr>
          <w:rFonts w:ascii="Calibri" w:hAnsi="Calibri" w:cs="Calibri" w:hint="eastAsia"/>
          <w:sz w:val="22"/>
          <w:szCs w:val="22"/>
        </w:rPr>
        <w:t xml:space="preserve"> education-led</w:t>
      </w:r>
      <w:r w:rsidR="00344AD2" w:rsidRPr="008B61F7">
        <w:rPr>
          <w:rFonts w:ascii="Calibri" w:hAnsi="Calibri" w:cs="Calibri"/>
          <w:sz w:val="22"/>
          <w:szCs w:val="22"/>
        </w:rPr>
        <w:t xml:space="preserve"> residential mobilities</w:t>
      </w:r>
      <w:r w:rsidR="006D03F6" w:rsidRPr="008B61F7">
        <w:rPr>
          <w:rFonts w:ascii="Calibri" w:hAnsi="Calibri" w:cs="Calibri"/>
          <w:sz w:val="22"/>
          <w:szCs w:val="22"/>
        </w:rPr>
        <w:t>, which are highly context-specific and shaped by local policies, markets, and institutional frameworks.</w:t>
      </w:r>
    </w:p>
    <w:p w14:paraId="1E5E849E" w14:textId="77777777" w:rsidR="008E27AD" w:rsidRPr="008B61F7" w:rsidRDefault="008E27AD" w:rsidP="008F1A53">
      <w:pPr>
        <w:rPr>
          <w:rFonts w:ascii="Calibri" w:hAnsi="Calibri" w:cs="Calibri"/>
          <w:sz w:val="22"/>
          <w:szCs w:val="22"/>
        </w:rPr>
      </w:pPr>
    </w:p>
    <w:p w14:paraId="25A3013C" w14:textId="70691FA9" w:rsidR="00342A13" w:rsidRPr="00342A13" w:rsidRDefault="00342A13" w:rsidP="00342A13">
      <w:pPr>
        <w:rPr>
          <w:rFonts w:ascii="Calibri" w:hAnsi="Calibri" w:cs="Calibri"/>
          <w:sz w:val="22"/>
          <w:szCs w:val="22"/>
        </w:rPr>
      </w:pPr>
      <w:r w:rsidRPr="00342A13">
        <w:rPr>
          <w:rFonts w:ascii="Calibri" w:hAnsi="Calibri" w:cs="Calibri"/>
          <w:sz w:val="22"/>
          <w:szCs w:val="22"/>
        </w:rPr>
        <w:t xml:space="preserve">This project focuses on Scotland, </w:t>
      </w:r>
      <w:r w:rsidR="00E258E3">
        <w:rPr>
          <w:rFonts w:ascii="Calibri" w:hAnsi="Calibri" w:cs="Calibri" w:hint="eastAsia"/>
          <w:sz w:val="22"/>
          <w:szCs w:val="22"/>
        </w:rPr>
        <w:t>which</w:t>
      </w:r>
      <w:r w:rsidRPr="00342A13">
        <w:rPr>
          <w:rFonts w:ascii="Calibri" w:hAnsi="Calibri" w:cs="Calibri"/>
          <w:sz w:val="22"/>
          <w:szCs w:val="22"/>
        </w:rPr>
        <w:t xml:space="preserve"> remains underexplored in this field, to address the following key questions:</w:t>
      </w:r>
    </w:p>
    <w:p w14:paraId="79731264" w14:textId="77777777" w:rsidR="00342A13" w:rsidRPr="00342A13" w:rsidRDefault="00342A13" w:rsidP="00342A13">
      <w:pPr>
        <w:numPr>
          <w:ilvl w:val="0"/>
          <w:numId w:val="2"/>
        </w:numPr>
        <w:rPr>
          <w:rFonts w:ascii="Calibri" w:hAnsi="Calibri" w:cs="Calibri"/>
          <w:sz w:val="22"/>
          <w:szCs w:val="22"/>
        </w:rPr>
      </w:pPr>
      <w:r w:rsidRPr="00342A13">
        <w:rPr>
          <w:rFonts w:ascii="Calibri" w:hAnsi="Calibri" w:cs="Calibri"/>
          <w:sz w:val="22"/>
          <w:szCs w:val="22"/>
        </w:rPr>
        <w:t>How do middle-class parents navigate intra-city residential mobility and inter-city migration at the intersection of housing and education?</w:t>
      </w:r>
    </w:p>
    <w:p w14:paraId="4E957DFD" w14:textId="59300D81" w:rsidR="00342A13" w:rsidRPr="00342A13" w:rsidRDefault="00342A13" w:rsidP="00342A13">
      <w:pPr>
        <w:numPr>
          <w:ilvl w:val="0"/>
          <w:numId w:val="2"/>
        </w:numPr>
        <w:rPr>
          <w:rFonts w:ascii="Calibri" w:hAnsi="Calibri" w:cs="Calibri"/>
          <w:sz w:val="22"/>
          <w:szCs w:val="22"/>
        </w:rPr>
      </w:pPr>
      <w:r w:rsidRPr="00342A13">
        <w:rPr>
          <w:rFonts w:ascii="Calibri" w:hAnsi="Calibri" w:cs="Calibri"/>
          <w:sz w:val="22"/>
          <w:szCs w:val="22"/>
        </w:rPr>
        <w:t>How do state policies and market dynamics facilitate or constrain these</w:t>
      </w:r>
      <w:r w:rsidR="00446EAB">
        <w:rPr>
          <w:rFonts w:ascii="Calibri" w:hAnsi="Calibri" w:cs="Calibri" w:hint="eastAsia"/>
          <w:sz w:val="22"/>
          <w:szCs w:val="22"/>
        </w:rPr>
        <w:t xml:space="preserve"> education-led</w:t>
      </w:r>
      <w:r w:rsidRPr="00342A13">
        <w:rPr>
          <w:rFonts w:ascii="Calibri" w:hAnsi="Calibri" w:cs="Calibri"/>
          <w:sz w:val="22"/>
          <w:szCs w:val="22"/>
        </w:rPr>
        <w:t xml:space="preserve"> residential </w:t>
      </w:r>
      <w:r w:rsidR="00532508" w:rsidRPr="008B61F7">
        <w:rPr>
          <w:rFonts w:ascii="Calibri" w:hAnsi="Calibri" w:cs="Calibri"/>
          <w:sz w:val="22"/>
          <w:szCs w:val="22"/>
        </w:rPr>
        <w:t>movements</w:t>
      </w:r>
      <w:r w:rsidRPr="00342A13">
        <w:rPr>
          <w:rFonts w:ascii="Calibri" w:hAnsi="Calibri" w:cs="Calibri"/>
          <w:sz w:val="22"/>
          <w:szCs w:val="22"/>
        </w:rPr>
        <w:t>?</w:t>
      </w:r>
    </w:p>
    <w:p w14:paraId="580F2FE5" w14:textId="5B57DE54" w:rsidR="00342A13" w:rsidRPr="00342A13" w:rsidRDefault="00342A13" w:rsidP="00342A13">
      <w:pPr>
        <w:numPr>
          <w:ilvl w:val="0"/>
          <w:numId w:val="2"/>
        </w:numPr>
        <w:rPr>
          <w:rFonts w:ascii="Calibri" w:hAnsi="Calibri" w:cs="Calibri"/>
          <w:sz w:val="22"/>
          <w:szCs w:val="22"/>
        </w:rPr>
      </w:pPr>
      <w:r w:rsidRPr="00342A13">
        <w:rPr>
          <w:rFonts w:ascii="Calibri" w:hAnsi="Calibri" w:cs="Calibri"/>
          <w:sz w:val="22"/>
          <w:szCs w:val="22"/>
        </w:rPr>
        <w:t>How do these movements embed within, and in turn reshape, urban</w:t>
      </w:r>
      <w:r w:rsidR="00731C64" w:rsidRPr="008B61F7">
        <w:rPr>
          <w:rFonts w:ascii="Calibri" w:hAnsi="Calibri" w:cs="Calibri"/>
          <w:sz w:val="22"/>
          <w:szCs w:val="22"/>
        </w:rPr>
        <w:t xml:space="preserve"> and regional</w:t>
      </w:r>
      <w:r w:rsidRPr="00342A13">
        <w:rPr>
          <w:rFonts w:ascii="Calibri" w:hAnsi="Calibri" w:cs="Calibri"/>
          <w:sz w:val="22"/>
          <w:szCs w:val="22"/>
        </w:rPr>
        <w:t xml:space="preserve"> </w:t>
      </w:r>
      <w:r w:rsidR="00BB0F8A" w:rsidRPr="008B61F7">
        <w:rPr>
          <w:rFonts w:ascii="Calibri" w:hAnsi="Calibri" w:cs="Calibri"/>
          <w:sz w:val="22"/>
          <w:szCs w:val="22"/>
        </w:rPr>
        <w:t xml:space="preserve">(re)development </w:t>
      </w:r>
      <w:r w:rsidRPr="00342A13">
        <w:rPr>
          <w:rFonts w:ascii="Calibri" w:hAnsi="Calibri" w:cs="Calibri"/>
          <w:sz w:val="22"/>
          <w:szCs w:val="22"/>
        </w:rPr>
        <w:t>processes?</w:t>
      </w:r>
    </w:p>
    <w:p w14:paraId="79B38284" w14:textId="77777777" w:rsidR="008E27AD" w:rsidRPr="008B61F7" w:rsidRDefault="008E27AD" w:rsidP="008F1A53">
      <w:pPr>
        <w:rPr>
          <w:rFonts w:ascii="Calibri" w:hAnsi="Calibri" w:cs="Calibri"/>
          <w:sz w:val="22"/>
          <w:szCs w:val="22"/>
        </w:rPr>
      </w:pPr>
    </w:p>
    <w:p w14:paraId="0838A380" w14:textId="77777777" w:rsidR="001A4194" w:rsidRDefault="00CE5140" w:rsidP="008F1A53">
      <w:pPr>
        <w:rPr>
          <w:rFonts w:ascii="Calibri" w:hAnsi="Calibri" w:cs="Calibri"/>
          <w:sz w:val="22"/>
          <w:szCs w:val="22"/>
        </w:rPr>
      </w:pPr>
      <w:r w:rsidRPr="008B61F7">
        <w:rPr>
          <w:rFonts w:ascii="Calibri" w:hAnsi="Calibri" w:cs="Calibri"/>
          <w:sz w:val="22"/>
          <w:szCs w:val="22"/>
        </w:rPr>
        <w:t xml:space="preserve">To answer these questions, the study employs a mixed-methods approach. Archival research will investigate the historical evolution of policies relating to housing and education. Qualitative interviews will be conducted with middle-class parents to explore their aspirations for housing and education, the strategies they employ to achieve these goals, and the trajectories of their residential mobility and migration. Additionally, interviews with government officials in education and urban </w:t>
      </w:r>
      <w:r w:rsidRPr="008B61F7">
        <w:rPr>
          <w:rFonts w:ascii="Calibri" w:hAnsi="Calibri" w:cs="Calibri"/>
          <w:sz w:val="22"/>
          <w:szCs w:val="22"/>
        </w:rPr>
        <w:lastRenderedPageBreak/>
        <w:t>planning will shed light on the evolving relationship between education policy and urban development. Real estate developers and private school investors will also be interviewed to understand their rationales, strategies, and processes for aligning school investments with housing developments. Lastly, quantitative analysis of publicly available survey data, including Understanding Society will examine how education and housing considerations influence mobility patterns, including movements across cities and between rural and (sub)urban areas, for middle-class families with varying levels of capital.</w:t>
      </w:r>
      <w:r w:rsidR="00E87DCC" w:rsidRPr="008B61F7">
        <w:rPr>
          <w:rFonts w:ascii="Calibri" w:hAnsi="Calibri" w:cs="Calibri"/>
          <w:sz w:val="22"/>
          <w:szCs w:val="22"/>
        </w:rPr>
        <w:t xml:space="preserve"> </w:t>
      </w:r>
    </w:p>
    <w:p w14:paraId="054B4998" w14:textId="77777777" w:rsidR="00A824D8" w:rsidRPr="008B61F7" w:rsidRDefault="00A824D8" w:rsidP="008F1A53">
      <w:pPr>
        <w:rPr>
          <w:rFonts w:ascii="Calibri" w:hAnsi="Calibri" w:cs="Calibri"/>
          <w:sz w:val="22"/>
          <w:szCs w:val="22"/>
        </w:rPr>
      </w:pPr>
    </w:p>
    <w:p w14:paraId="145C112A" w14:textId="1452DC15" w:rsidR="004E6877" w:rsidRPr="008B61F7" w:rsidRDefault="00E87DCC" w:rsidP="008F1A53">
      <w:pPr>
        <w:rPr>
          <w:rFonts w:ascii="Calibri" w:hAnsi="Calibri" w:cs="Calibri"/>
          <w:sz w:val="22"/>
          <w:szCs w:val="22"/>
        </w:rPr>
      </w:pPr>
      <w:r w:rsidRPr="008B61F7">
        <w:rPr>
          <w:rFonts w:ascii="Calibri" w:hAnsi="Calibri" w:cs="Calibri"/>
          <w:sz w:val="22"/>
          <w:szCs w:val="22"/>
        </w:rPr>
        <w:t xml:space="preserve">In so doing, this study </w:t>
      </w:r>
      <w:r w:rsidR="00E33DEB" w:rsidRPr="008B61F7">
        <w:rPr>
          <w:rFonts w:ascii="Calibri" w:hAnsi="Calibri" w:cs="Calibri"/>
          <w:sz w:val="22"/>
          <w:szCs w:val="22"/>
        </w:rPr>
        <w:t>aims to critically</w:t>
      </w:r>
      <w:r w:rsidR="0046146F" w:rsidRPr="008B61F7">
        <w:rPr>
          <w:rFonts w:ascii="Calibri" w:hAnsi="Calibri" w:cs="Calibri"/>
          <w:sz w:val="22"/>
          <w:szCs w:val="22"/>
        </w:rPr>
        <w:t xml:space="preserve"> (re)theorise the residential strategies, patterns and implication </w:t>
      </w:r>
      <w:r w:rsidR="0032359A" w:rsidRPr="008B61F7">
        <w:rPr>
          <w:rFonts w:ascii="Calibri" w:hAnsi="Calibri" w:cs="Calibri"/>
          <w:sz w:val="22"/>
          <w:szCs w:val="22"/>
        </w:rPr>
        <w:t xml:space="preserve">of </w:t>
      </w:r>
      <w:r w:rsidR="00955028" w:rsidRPr="008B61F7">
        <w:rPr>
          <w:rFonts w:ascii="Calibri" w:hAnsi="Calibri" w:cs="Calibri"/>
          <w:sz w:val="22"/>
          <w:szCs w:val="22"/>
        </w:rPr>
        <w:t>middle-class</w:t>
      </w:r>
      <w:r w:rsidR="0032359A" w:rsidRPr="008B61F7">
        <w:rPr>
          <w:rFonts w:ascii="Calibri" w:hAnsi="Calibri" w:cs="Calibri"/>
          <w:sz w:val="22"/>
          <w:szCs w:val="22"/>
        </w:rPr>
        <w:t xml:space="preserve"> parents </w:t>
      </w:r>
      <w:r w:rsidR="0053244B" w:rsidRPr="008B61F7">
        <w:rPr>
          <w:rFonts w:ascii="Calibri" w:hAnsi="Calibri" w:cs="Calibri"/>
          <w:sz w:val="22"/>
          <w:szCs w:val="22"/>
        </w:rPr>
        <w:t xml:space="preserve">at </w:t>
      </w:r>
      <w:r w:rsidR="006E7D81" w:rsidRPr="008B61F7">
        <w:rPr>
          <w:rFonts w:ascii="Calibri" w:hAnsi="Calibri" w:cs="Calibri"/>
          <w:sz w:val="22"/>
          <w:szCs w:val="22"/>
        </w:rPr>
        <w:t xml:space="preserve">the </w:t>
      </w:r>
      <w:r w:rsidR="00985FBF" w:rsidRPr="008B61F7">
        <w:rPr>
          <w:rFonts w:ascii="Calibri" w:hAnsi="Calibri" w:cs="Calibri"/>
          <w:sz w:val="22"/>
          <w:szCs w:val="22"/>
        </w:rPr>
        <w:t>state-market</w:t>
      </w:r>
      <w:r w:rsidR="006E7D81" w:rsidRPr="008B61F7">
        <w:rPr>
          <w:rFonts w:ascii="Calibri" w:hAnsi="Calibri" w:cs="Calibri"/>
          <w:sz w:val="22"/>
          <w:szCs w:val="22"/>
        </w:rPr>
        <w:t xml:space="preserve"> nexus</w:t>
      </w:r>
      <w:r w:rsidR="00D94999" w:rsidRPr="008B61F7">
        <w:rPr>
          <w:rFonts w:ascii="Calibri" w:hAnsi="Calibri" w:cs="Calibri"/>
          <w:sz w:val="22"/>
          <w:szCs w:val="22"/>
        </w:rPr>
        <w:t xml:space="preserve">. It will contribute to </w:t>
      </w:r>
      <w:r w:rsidR="006A694D" w:rsidRPr="008B61F7">
        <w:rPr>
          <w:rFonts w:ascii="Calibri" w:hAnsi="Calibri" w:cs="Calibri"/>
          <w:sz w:val="22"/>
          <w:szCs w:val="22"/>
        </w:rPr>
        <w:t>the scholarship of critical geographies of education, residential (</w:t>
      </w:r>
      <w:proofErr w:type="spellStart"/>
      <w:r w:rsidR="006A694D" w:rsidRPr="008B61F7">
        <w:rPr>
          <w:rFonts w:ascii="Calibri" w:hAnsi="Calibri" w:cs="Calibri"/>
          <w:sz w:val="22"/>
          <w:szCs w:val="22"/>
        </w:rPr>
        <w:t>im</w:t>
      </w:r>
      <w:proofErr w:type="spellEnd"/>
      <w:r w:rsidR="006A694D" w:rsidRPr="008B61F7">
        <w:rPr>
          <w:rFonts w:ascii="Calibri" w:hAnsi="Calibri" w:cs="Calibri"/>
          <w:sz w:val="22"/>
          <w:szCs w:val="22"/>
        </w:rPr>
        <w:t>)mobility, critical infrastructure s</w:t>
      </w:r>
      <w:r w:rsidR="001516EF" w:rsidRPr="008B61F7">
        <w:rPr>
          <w:rFonts w:ascii="Calibri" w:hAnsi="Calibri" w:cs="Calibri"/>
          <w:sz w:val="22"/>
          <w:szCs w:val="22"/>
        </w:rPr>
        <w:t>tudies</w:t>
      </w:r>
      <w:r w:rsidR="006A694D" w:rsidRPr="008B61F7">
        <w:rPr>
          <w:rFonts w:ascii="Calibri" w:hAnsi="Calibri" w:cs="Calibri"/>
          <w:sz w:val="22"/>
          <w:szCs w:val="22"/>
        </w:rPr>
        <w:t>, and social reproduction theory</w:t>
      </w:r>
      <w:r w:rsidR="00E67B31" w:rsidRPr="008B61F7">
        <w:rPr>
          <w:rFonts w:ascii="Calibri" w:hAnsi="Calibri" w:cs="Calibri"/>
          <w:sz w:val="22"/>
          <w:szCs w:val="22"/>
        </w:rPr>
        <w:t>.</w:t>
      </w:r>
      <w:r w:rsidR="00AC7508" w:rsidRPr="008B61F7">
        <w:rPr>
          <w:rFonts w:ascii="Calibri" w:hAnsi="Calibri" w:cs="Calibri"/>
          <w:sz w:val="22"/>
          <w:szCs w:val="22"/>
        </w:rPr>
        <w:t xml:space="preserve"> It will also </w:t>
      </w:r>
      <w:r w:rsidR="00670E48" w:rsidRPr="008B61F7">
        <w:rPr>
          <w:rFonts w:ascii="Calibri" w:hAnsi="Calibri" w:cs="Calibri"/>
          <w:sz w:val="22"/>
          <w:szCs w:val="22"/>
        </w:rPr>
        <w:t>inform policies that address inequalities in housing and education, offering valuable insights for more equitable urban and regional development.</w:t>
      </w:r>
    </w:p>
    <w:p w14:paraId="76F75440" w14:textId="77777777" w:rsidR="00E318C1" w:rsidRPr="008B61F7" w:rsidRDefault="00E318C1" w:rsidP="008F1A53">
      <w:pPr>
        <w:tabs>
          <w:tab w:val="left" w:pos="964"/>
        </w:tabs>
        <w:ind w:left="360"/>
        <w:rPr>
          <w:rFonts w:ascii="Calibri" w:hAnsi="Calibri" w:cs="Calibri"/>
          <w:sz w:val="22"/>
          <w:szCs w:val="22"/>
        </w:rPr>
      </w:pPr>
    </w:p>
    <w:p w14:paraId="1A049BE7" w14:textId="797AC1D9" w:rsidR="00E77445" w:rsidRPr="008B61F7" w:rsidRDefault="00E77445" w:rsidP="00E318C1">
      <w:pPr>
        <w:tabs>
          <w:tab w:val="left" w:pos="964"/>
        </w:tabs>
        <w:ind w:left="360"/>
        <w:rPr>
          <w:rFonts w:ascii="Calibri" w:hAnsi="Calibri" w:cs="Calibri"/>
          <w:sz w:val="22"/>
          <w:szCs w:val="22"/>
          <w:lang w:val="en-US"/>
        </w:rPr>
      </w:pPr>
      <w:r w:rsidRPr="008B61F7">
        <w:rPr>
          <w:rFonts w:ascii="Calibri" w:hAnsi="Calibri" w:cs="Calibri"/>
          <w:sz w:val="22"/>
          <w:szCs w:val="22"/>
          <w:lang w:val="en-US"/>
        </w:rPr>
        <w:t>Reference</w:t>
      </w:r>
    </w:p>
    <w:p w14:paraId="3DDDBF44" w14:textId="77777777" w:rsidR="00E77445" w:rsidRPr="008B61F7" w:rsidRDefault="00E77445" w:rsidP="008F1A53">
      <w:pPr>
        <w:pStyle w:val="ListParagraph"/>
        <w:numPr>
          <w:ilvl w:val="0"/>
          <w:numId w:val="1"/>
        </w:numPr>
        <w:tabs>
          <w:tab w:val="left" w:pos="964"/>
        </w:tabs>
        <w:rPr>
          <w:rFonts w:ascii="Calibri" w:hAnsi="Calibri" w:cs="Calibri"/>
          <w:sz w:val="22"/>
          <w:szCs w:val="22"/>
        </w:rPr>
      </w:pPr>
      <w:r w:rsidRPr="008B61F7">
        <w:rPr>
          <w:rFonts w:ascii="Calibri" w:hAnsi="Calibri" w:cs="Calibri"/>
          <w:sz w:val="22"/>
          <w:szCs w:val="22"/>
        </w:rPr>
        <w:t xml:space="preserve">Butler, T., &amp; </w:t>
      </w:r>
      <w:proofErr w:type="spellStart"/>
      <w:r w:rsidRPr="008B61F7">
        <w:rPr>
          <w:rFonts w:ascii="Calibri" w:hAnsi="Calibri" w:cs="Calibri"/>
          <w:sz w:val="22"/>
          <w:szCs w:val="22"/>
        </w:rPr>
        <w:t>Hamnett</w:t>
      </w:r>
      <w:proofErr w:type="spellEnd"/>
      <w:r w:rsidRPr="008B61F7">
        <w:rPr>
          <w:rFonts w:ascii="Calibri" w:hAnsi="Calibri" w:cs="Calibri"/>
          <w:sz w:val="22"/>
          <w:szCs w:val="22"/>
        </w:rPr>
        <w:t xml:space="preserve">, C. (2007). The Geography of Education: Introduction. </w:t>
      </w:r>
      <w:r w:rsidRPr="008B61F7">
        <w:rPr>
          <w:rFonts w:ascii="Calibri" w:hAnsi="Calibri" w:cs="Calibri"/>
          <w:i/>
          <w:iCs/>
          <w:sz w:val="22"/>
          <w:szCs w:val="22"/>
        </w:rPr>
        <w:t>Urban Studies</w:t>
      </w:r>
      <w:r w:rsidRPr="008B61F7">
        <w:rPr>
          <w:rFonts w:ascii="Calibri" w:hAnsi="Calibri" w:cs="Calibri"/>
          <w:sz w:val="22"/>
          <w:szCs w:val="22"/>
        </w:rPr>
        <w:t xml:space="preserve">, </w:t>
      </w:r>
      <w:r w:rsidRPr="008B61F7">
        <w:rPr>
          <w:rFonts w:ascii="Calibri" w:hAnsi="Calibri" w:cs="Calibri"/>
          <w:i/>
          <w:iCs/>
          <w:sz w:val="22"/>
          <w:szCs w:val="22"/>
        </w:rPr>
        <w:t>44</w:t>
      </w:r>
      <w:r w:rsidRPr="008B61F7">
        <w:rPr>
          <w:rFonts w:ascii="Calibri" w:hAnsi="Calibri" w:cs="Calibri"/>
          <w:sz w:val="22"/>
          <w:szCs w:val="22"/>
        </w:rPr>
        <w:t>(7), 1161–1174. https://doi.org/10.1080/00420980701329174</w:t>
      </w:r>
    </w:p>
    <w:p w14:paraId="7EFF5F14" w14:textId="77777777" w:rsidR="00E77445" w:rsidRPr="008B61F7" w:rsidRDefault="00E77445" w:rsidP="008F1A53">
      <w:pPr>
        <w:pStyle w:val="ListParagraph"/>
        <w:numPr>
          <w:ilvl w:val="0"/>
          <w:numId w:val="1"/>
        </w:numPr>
        <w:tabs>
          <w:tab w:val="left" w:pos="964"/>
        </w:tabs>
        <w:rPr>
          <w:rFonts w:ascii="Calibri" w:hAnsi="Calibri" w:cs="Calibri"/>
          <w:sz w:val="22"/>
          <w:szCs w:val="22"/>
        </w:rPr>
      </w:pPr>
      <w:proofErr w:type="spellStart"/>
      <w:r w:rsidRPr="008B61F7">
        <w:rPr>
          <w:rFonts w:ascii="Calibri" w:hAnsi="Calibri" w:cs="Calibri"/>
          <w:sz w:val="22"/>
          <w:szCs w:val="22"/>
        </w:rPr>
        <w:t>Boterman</w:t>
      </w:r>
      <w:proofErr w:type="spellEnd"/>
      <w:r w:rsidRPr="008B61F7">
        <w:rPr>
          <w:rFonts w:ascii="Calibri" w:hAnsi="Calibri" w:cs="Calibri"/>
          <w:sz w:val="22"/>
          <w:szCs w:val="22"/>
        </w:rPr>
        <w:t xml:space="preserve">, W. R. (2013). Dealing with Diversity: Middle-class Family Households and the Issue of ‘Black’ and ‘White’ Schools in Amsterdam. </w:t>
      </w:r>
      <w:r w:rsidRPr="008B61F7">
        <w:rPr>
          <w:rFonts w:ascii="Calibri" w:hAnsi="Calibri" w:cs="Calibri"/>
          <w:i/>
          <w:iCs/>
          <w:sz w:val="22"/>
          <w:szCs w:val="22"/>
        </w:rPr>
        <w:t>Urban Studies</w:t>
      </w:r>
      <w:r w:rsidRPr="008B61F7">
        <w:rPr>
          <w:rFonts w:ascii="Calibri" w:hAnsi="Calibri" w:cs="Calibri"/>
          <w:sz w:val="22"/>
          <w:szCs w:val="22"/>
        </w:rPr>
        <w:t xml:space="preserve">, </w:t>
      </w:r>
      <w:r w:rsidRPr="008B61F7">
        <w:rPr>
          <w:rFonts w:ascii="Calibri" w:hAnsi="Calibri" w:cs="Calibri"/>
          <w:i/>
          <w:iCs/>
          <w:sz w:val="22"/>
          <w:szCs w:val="22"/>
        </w:rPr>
        <w:t>50</w:t>
      </w:r>
      <w:r w:rsidRPr="008B61F7">
        <w:rPr>
          <w:rFonts w:ascii="Calibri" w:hAnsi="Calibri" w:cs="Calibri"/>
          <w:sz w:val="22"/>
          <w:szCs w:val="22"/>
        </w:rPr>
        <w:t xml:space="preserve">(6), 1130–1147. </w:t>
      </w:r>
      <w:hyperlink r:id="rId7" w:history="1">
        <w:r w:rsidRPr="008B61F7">
          <w:rPr>
            <w:rStyle w:val="Hyperlink"/>
            <w:rFonts w:ascii="Calibri" w:hAnsi="Calibri" w:cs="Calibri"/>
            <w:sz w:val="22"/>
            <w:szCs w:val="22"/>
          </w:rPr>
          <w:t>https://doi.org/10.1177/0042098012461673</w:t>
        </w:r>
      </w:hyperlink>
    </w:p>
    <w:p w14:paraId="25EF7821" w14:textId="77777777" w:rsidR="00E77445" w:rsidRPr="008B61F7" w:rsidRDefault="00E77445" w:rsidP="008F1A53">
      <w:pPr>
        <w:pStyle w:val="ListParagraph"/>
        <w:numPr>
          <w:ilvl w:val="0"/>
          <w:numId w:val="1"/>
        </w:numPr>
        <w:tabs>
          <w:tab w:val="left" w:pos="964"/>
        </w:tabs>
        <w:spacing w:after="160"/>
        <w:rPr>
          <w:rFonts w:ascii="Calibri" w:hAnsi="Calibri" w:cs="Calibri"/>
          <w:sz w:val="22"/>
          <w:szCs w:val="22"/>
        </w:rPr>
      </w:pPr>
      <w:proofErr w:type="spellStart"/>
      <w:r w:rsidRPr="008B61F7">
        <w:rPr>
          <w:rFonts w:ascii="Calibri" w:hAnsi="Calibri" w:cs="Calibri"/>
          <w:sz w:val="22"/>
          <w:szCs w:val="22"/>
        </w:rPr>
        <w:t>Boterman</w:t>
      </w:r>
      <w:proofErr w:type="spellEnd"/>
      <w:r w:rsidRPr="008B61F7">
        <w:rPr>
          <w:rFonts w:ascii="Calibri" w:hAnsi="Calibri" w:cs="Calibri"/>
          <w:sz w:val="22"/>
          <w:szCs w:val="22"/>
        </w:rPr>
        <w:t xml:space="preserve">, W. R. (2019). The role of geography in school segregation in the free parental choice context of Dutch cities. </w:t>
      </w:r>
      <w:r w:rsidRPr="008B61F7">
        <w:rPr>
          <w:rFonts w:ascii="Calibri" w:hAnsi="Calibri" w:cs="Calibri"/>
          <w:i/>
          <w:iCs/>
          <w:sz w:val="22"/>
          <w:szCs w:val="22"/>
        </w:rPr>
        <w:t>Urban Studies</w:t>
      </w:r>
      <w:r w:rsidRPr="008B61F7">
        <w:rPr>
          <w:rFonts w:ascii="Calibri" w:hAnsi="Calibri" w:cs="Calibri"/>
          <w:sz w:val="22"/>
          <w:szCs w:val="22"/>
        </w:rPr>
        <w:t xml:space="preserve">, </w:t>
      </w:r>
      <w:r w:rsidRPr="008B61F7">
        <w:rPr>
          <w:rFonts w:ascii="Calibri" w:hAnsi="Calibri" w:cs="Calibri"/>
          <w:i/>
          <w:iCs/>
          <w:sz w:val="22"/>
          <w:szCs w:val="22"/>
        </w:rPr>
        <w:t>56</w:t>
      </w:r>
      <w:r w:rsidRPr="008B61F7">
        <w:rPr>
          <w:rFonts w:ascii="Calibri" w:hAnsi="Calibri" w:cs="Calibri"/>
          <w:sz w:val="22"/>
          <w:szCs w:val="22"/>
        </w:rPr>
        <w:t>(15), 3074–3094. https://doi.org/10.1177/0042098019832201</w:t>
      </w:r>
    </w:p>
    <w:p w14:paraId="7A71E3C4" w14:textId="77777777" w:rsidR="000D5694" w:rsidRPr="000E0AAF" w:rsidRDefault="00E77445" w:rsidP="000D5694">
      <w:pPr>
        <w:pStyle w:val="ListParagraph"/>
        <w:numPr>
          <w:ilvl w:val="0"/>
          <w:numId w:val="1"/>
        </w:numPr>
        <w:rPr>
          <w:rFonts w:ascii="Calibri" w:hAnsi="Calibri" w:cs="Calibri"/>
          <w:sz w:val="22"/>
          <w:szCs w:val="22"/>
        </w:rPr>
      </w:pPr>
      <w:r w:rsidRPr="000D5694">
        <w:rPr>
          <w:rFonts w:ascii="Calibri" w:hAnsi="Calibri" w:cs="Calibri"/>
          <w:sz w:val="22"/>
          <w:szCs w:val="22"/>
        </w:rPr>
        <w:t>He, Q., &amp; He, S. (2024</w:t>
      </w:r>
      <w:r w:rsidR="000D5694" w:rsidRPr="000D5694">
        <w:rPr>
          <w:rFonts w:ascii="Calibri" w:hAnsi="Calibri" w:cs="Calibri" w:hint="eastAsia"/>
          <w:sz w:val="22"/>
          <w:szCs w:val="22"/>
        </w:rPr>
        <w:t>a</w:t>
      </w:r>
      <w:r w:rsidRPr="000D5694">
        <w:rPr>
          <w:rFonts w:ascii="Calibri" w:hAnsi="Calibri" w:cs="Calibri"/>
          <w:sz w:val="22"/>
          <w:szCs w:val="22"/>
        </w:rPr>
        <w:t xml:space="preserve">). Disentangling the intersectional field of education and housing in China: Genesis, strategies and discontents. </w:t>
      </w:r>
      <w:r w:rsidRPr="000E0AAF">
        <w:rPr>
          <w:rFonts w:ascii="Calibri" w:hAnsi="Calibri" w:cs="Calibri"/>
          <w:sz w:val="22"/>
          <w:szCs w:val="22"/>
        </w:rPr>
        <w:t>Environment and Planning A: Economy and Space</w:t>
      </w:r>
      <w:r w:rsidRPr="000D5694">
        <w:rPr>
          <w:rFonts w:ascii="Calibri" w:hAnsi="Calibri" w:cs="Calibri"/>
          <w:sz w:val="22"/>
          <w:szCs w:val="22"/>
        </w:rPr>
        <w:t xml:space="preserve">. </w:t>
      </w:r>
      <w:hyperlink r:id="rId8" w:history="1">
        <w:r w:rsidRPr="000E0AAF">
          <w:t>https://doi.org/10.1177/0308518X241228453</w:t>
        </w:r>
      </w:hyperlink>
    </w:p>
    <w:p w14:paraId="0B922BD7" w14:textId="7736E76C" w:rsidR="000D5694" w:rsidRPr="00A11D04" w:rsidRDefault="000D5694" w:rsidP="00A11D04">
      <w:pPr>
        <w:pStyle w:val="ListParagraph"/>
        <w:numPr>
          <w:ilvl w:val="0"/>
          <w:numId w:val="1"/>
        </w:numPr>
        <w:tabs>
          <w:tab w:val="left" w:pos="964"/>
        </w:tabs>
        <w:rPr>
          <w:rFonts w:ascii="Calibri" w:hAnsi="Calibri" w:cs="Calibri" w:hint="eastAsia"/>
          <w:sz w:val="22"/>
          <w:szCs w:val="22"/>
        </w:rPr>
      </w:pPr>
      <w:r w:rsidRPr="000E0AAF">
        <w:rPr>
          <w:rFonts w:ascii="Calibri" w:hAnsi="Calibri" w:cs="Calibri"/>
          <w:sz w:val="22"/>
          <w:szCs w:val="22"/>
        </w:rPr>
        <w:t>He, Q., &amp; He, S</w:t>
      </w:r>
      <w:r w:rsidR="004530D5" w:rsidRPr="000E0AAF">
        <w:rPr>
          <w:rFonts w:ascii="Calibri" w:hAnsi="Calibri" w:cs="Calibri" w:hint="eastAsia"/>
          <w:sz w:val="22"/>
          <w:szCs w:val="22"/>
        </w:rPr>
        <w:t xml:space="preserve"> </w:t>
      </w:r>
      <w:r w:rsidR="005858C3" w:rsidRPr="000E0AAF">
        <w:rPr>
          <w:rFonts w:ascii="Calibri" w:hAnsi="Calibri" w:cs="Calibri" w:hint="eastAsia"/>
          <w:sz w:val="22"/>
          <w:szCs w:val="22"/>
        </w:rPr>
        <w:t>(2024b)</w:t>
      </w:r>
      <w:r w:rsidRPr="000E0AAF">
        <w:rPr>
          <w:rFonts w:ascii="Calibri" w:hAnsi="Calibri" w:cs="Calibri"/>
          <w:sz w:val="22"/>
          <w:szCs w:val="22"/>
        </w:rPr>
        <w:t>. Infrastructuring mobility via school franchising: Mobilizing educational resources to effectuate middle-class residential mobility in urban China. Annals of the American Association of Geographers</w:t>
      </w:r>
      <w:r w:rsidR="00F96D70" w:rsidRPr="000E0AAF">
        <w:rPr>
          <w:rFonts w:ascii="Calibri" w:hAnsi="Calibri" w:cs="Calibri" w:hint="eastAsia"/>
          <w:sz w:val="22"/>
          <w:szCs w:val="22"/>
        </w:rPr>
        <w:t>.</w:t>
      </w:r>
    </w:p>
    <w:p w14:paraId="2FCA600E" w14:textId="77777777" w:rsidR="00E77445" w:rsidRPr="008B61F7" w:rsidRDefault="00E77445" w:rsidP="008F1A53">
      <w:pPr>
        <w:pStyle w:val="ListParagraph"/>
        <w:numPr>
          <w:ilvl w:val="0"/>
          <w:numId w:val="1"/>
        </w:numPr>
        <w:tabs>
          <w:tab w:val="left" w:pos="964"/>
        </w:tabs>
        <w:rPr>
          <w:rFonts w:ascii="Calibri" w:hAnsi="Calibri" w:cs="Calibri"/>
          <w:sz w:val="22"/>
          <w:szCs w:val="22"/>
        </w:rPr>
      </w:pPr>
      <w:r w:rsidRPr="008B61F7">
        <w:rPr>
          <w:rFonts w:ascii="Calibri" w:hAnsi="Calibri" w:cs="Calibri"/>
          <w:sz w:val="22"/>
          <w:szCs w:val="22"/>
        </w:rPr>
        <w:t>McFadden, K. (2023). Infrastructures of social reproduction: Schools, everyday urban life, and the built environment of education. </w:t>
      </w:r>
      <w:r w:rsidRPr="000E0AAF">
        <w:rPr>
          <w:rFonts w:ascii="Calibri" w:hAnsi="Calibri" w:cs="Calibri"/>
          <w:sz w:val="22"/>
          <w:szCs w:val="22"/>
        </w:rPr>
        <w:t>Dialogues in Human Geography</w:t>
      </w:r>
      <w:r w:rsidRPr="008B61F7">
        <w:rPr>
          <w:rFonts w:ascii="Calibri" w:hAnsi="Calibri" w:cs="Calibri"/>
          <w:sz w:val="22"/>
          <w:szCs w:val="22"/>
        </w:rPr>
        <w:t>, 20438206231178827.</w:t>
      </w:r>
    </w:p>
    <w:p w14:paraId="01D3B5DB" w14:textId="77777777" w:rsidR="00E77445" w:rsidRPr="008B61F7" w:rsidRDefault="00E77445" w:rsidP="008F1A53">
      <w:pPr>
        <w:pStyle w:val="ListParagraph"/>
        <w:numPr>
          <w:ilvl w:val="0"/>
          <w:numId w:val="1"/>
        </w:numPr>
        <w:tabs>
          <w:tab w:val="left" w:pos="964"/>
        </w:tabs>
        <w:rPr>
          <w:rFonts w:ascii="Calibri" w:hAnsi="Calibri" w:cs="Calibri"/>
          <w:sz w:val="22"/>
          <w:szCs w:val="22"/>
        </w:rPr>
      </w:pPr>
      <w:r w:rsidRPr="008B61F7">
        <w:rPr>
          <w:rFonts w:ascii="Calibri" w:hAnsi="Calibri" w:cs="Calibri"/>
          <w:sz w:val="22"/>
          <w:szCs w:val="22"/>
        </w:rPr>
        <w:t xml:space="preserve">Orford, S. (2018). The capitalisation of school choice into property prices: A case study of grammar and all ability state schools in Buckinghamshire, UK. </w:t>
      </w:r>
      <w:proofErr w:type="spellStart"/>
      <w:r w:rsidRPr="008B61F7">
        <w:rPr>
          <w:rFonts w:ascii="Calibri" w:hAnsi="Calibri" w:cs="Calibri"/>
          <w:i/>
          <w:iCs/>
          <w:sz w:val="22"/>
          <w:szCs w:val="22"/>
        </w:rPr>
        <w:t>Geoforum</w:t>
      </w:r>
      <w:proofErr w:type="spellEnd"/>
      <w:r w:rsidRPr="008B61F7">
        <w:rPr>
          <w:rFonts w:ascii="Calibri" w:hAnsi="Calibri" w:cs="Calibri"/>
          <w:sz w:val="22"/>
          <w:szCs w:val="22"/>
        </w:rPr>
        <w:t xml:space="preserve">, </w:t>
      </w:r>
      <w:r w:rsidRPr="008B61F7">
        <w:rPr>
          <w:rFonts w:ascii="Calibri" w:hAnsi="Calibri" w:cs="Calibri"/>
          <w:i/>
          <w:iCs/>
          <w:sz w:val="22"/>
          <w:szCs w:val="22"/>
        </w:rPr>
        <w:t>97</w:t>
      </w:r>
      <w:r w:rsidRPr="008B61F7">
        <w:rPr>
          <w:rFonts w:ascii="Calibri" w:hAnsi="Calibri" w:cs="Calibri"/>
          <w:sz w:val="22"/>
          <w:szCs w:val="22"/>
        </w:rPr>
        <w:t>(December 2017), 231–241. https://doi.org/10.1016/j.geoforum.2018.09.009</w:t>
      </w:r>
    </w:p>
    <w:p w14:paraId="31F451F3" w14:textId="77777777" w:rsidR="00E77445" w:rsidRPr="008B61F7" w:rsidRDefault="00E77445" w:rsidP="008F1A53">
      <w:pPr>
        <w:pStyle w:val="ListParagraph"/>
        <w:numPr>
          <w:ilvl w:val="0"/>
          <w:numId w:val="1"/>
        </w:numPr>
        <w:tabs>
          <w:tab w:val="left" w:pos="964"/>
        </w:tabs>
        <w:rPr>
          <w:rFonts w:ascii="Calibri" w:hAnsi="Calibri" w:cs="Calibri"/>
          <w:sz w:val="22"/>
          <w:szCs w:val="22"/>
        </w:rPr>
      </w:pPr>
      <w:r w:rsidRPr="008B61F7">
        <w:rPr>
          <w:rFonts w:ascii="Calibri" w:hAnsi="Calibri" w:cs="Calibri"/>
          <w:sz w:val="22"/>
          <w:szCs w:val="22"/>
        </w:rPr>
        <w:t xml:space="preserve">Smith, D. P., &amp; Higley, R. (2012). Circuits of education, rural gentrification, and family migration from the </w:t>
      </w:r>
      <w:proofErr w:type="spellStart"/>
      <w:r w:rsidRPr="008B61F7">
        <w:rPr>
          <w:rFonts w:ascii="Calibri" w:hAnsi="Calibri" w:cs="Calibri"/>
          <w:sz w:val="22"/>
          <w:szCs w:val="22"/>
        </w:rPr>
        <w:t>globalcity</w:t>
      </w:r>
      <w:proofErr w:type="spellEnd"/>
      <w:r w:rsidRPr="008B61F7">
        <w:rPr>
          <w:rFonts w:ascii="Calibri" w:hAnsi="Calibri" w:cs="Calibri"/>
          <w:sz w:val="22"/>
          <w:szCs w:val="22"/>
        </w:rPr>
        <w:t xml:space="preserve">. </w:t>
      </w:r>
      <w:r w:rsidRPr="008B61F7">
        <w:rPr>
          <w:rFonts w:ascii="Calibri" w:hAnsi="Calibri" w:cs="Calibri"/>
          <w:i/>
          <w:iCs/>
          <w:sz w:val="22"/>
          <w:szCs w:val="22"/>
        </w:rPr>
        <w:t>Journal of Rural Studies</w:t>
      </w:r>
      <w:r w:rsidRPr="008B61F7">
        <w:rPr>
          <w:rFonts w:ascii="Calibri" w:hAnsi="Calibri" w:cs="Calibri"/>
          <w:sz w:val="22"/>
          <w:szCs w:val="22"/>
        </w:rPr>
        <w:t xml:space="preserve">, </w:t>
      </w:r>
      <w:r w:rsidRPr="008B61F7">
        <w:rPr>
          <w:rFonts w:ascii="Calibri" w:hAnsi="Calibri" w:cs="Calibri"/>
          <w:i/>
          <w:iCs/>
          <w:sz w:val="22"/>
          <w:szCs w:val="22"/>
        </w:rPr>
        <w:t>28</w:t>
      </w:r>
      <w:r w:rsidRPr="008B61F7">
        <w:rPr>
          <w:rFonts w:ascii="Calibri" w:hAnsi="Calibri" w:cs="Calibri"/>
          <w:sz w:val="22"/>
          <w:szCs w:val="22"/>
        </w:rPr>
        <w:t>(1), 49–55. https://doi.org/10.1016/j.jrurstud.2011.08.001</w:t>
      </w:r>
    </w:p>
    <w:p w14:paraId="1454EFCD" w14:textId="77777777" w:rsidR="00514475" w:rsidRPr="008B61F7" w:rsidRDefault="00514475" w:rsidP="008F1A53">
      <w:pPr>
        <w:tabs>
          <w:tab w:val="left" w:pos="964"/>
        </w:tabs>
        <w:ind w:left="360"/>
        <w:rPr>
          <w:rFonts w:ascii="Calibri" w:hAnsi="Calibri" w:cs="Calibri"/>
          <w:sz w:val="22"/>
          <w:szCs w:val="22"/>
          <w:lang w:val="en-US"/>
        </w:rPr>
      </w:pPr>
    </w:p>
    <w:sectPr w:rsidR="00514475" w:rsidRPr="008B61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9D03EB"/>
    <w:multiLevelType w:val="multilevel"/>
    <w:tmpl w:val="16D09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3F6712"/>
    <w:multiLevelType w:val="multilevel"/>
    <w:tmpl w:val="B8D43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63662795">
    <w:abstractNumId w:val="0"/>
  </w:num>
  <w:num w:numId="2" w16cid:durableId="1903404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5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969"/>
    <w:rsid w:val="00004008"/>
    <w:rsid w:val="00004A50"/>
    <w:rsid w:val="00005981"/>
    <w:rsid w:val="000065A8"/>
    <w:rsid w:val="00011C2D"/>
    <w:rsid w:val="00014264"/>
    <w:rsid w:val="00014ED0"/>
    <w:rsid w:val="00020D8E"/>
    <w:rsid w:val="00023F6C"/>
    <w:rsid w:val="00024930"/>
    <w:rsid w:val="000322E4"/>
    <w:rsid w:val="000348F7"/>
    <w:rsid w:val="0003503B"/>
    <w:rsid w:val="00035708"/>
    <w:rsid w:val="000359E7"/>
    <w:rsid w:val="00037CA6"/>
    <w:rsid w:val="000400AA"/>
    <w:rsid w:val="00041117"/>
    <w:rsid w:val="000415F7"/>
    <w:rsid w:val="00042BAB"/>
    <w:rsid w:val="00047FD6"/>
    <w:rsid w:val="00052402"/>
    <w:rsid w:val="0005293E"/>
    <w:rsid w:val="0005301C"/>
    <w:rsid w:val="00056A90"/>
    <w:rsid w:val="00061B7F"/>
    <w:rsid w:val="00062B32"/>
    <w:rsid w:val="00071DCE"/>
    <w:rsid w:val="00072B0A"/>
    <w:rsid w:val="0007749E"/>
    <w:rsid w:val="00077E53"/>
    <w:rsid w:val="000812B9"/>
    <w:rsid w:val="0008630C"/>
    <w:rsid w:val="000941D4"/>
    <w:rsid w:val="000944D3"/>
    <w:rsid w:val="0009630F"/>
    <w:rsid w:val="000A2A40"/>
    <w:rsid w:val="000A6C26"/>
    <w:rsid w:val="000A6F99"/>
    <w:rsid w:val="000B158A"/>
    <w:rsid w:val="000B1B45"/>
    <w:rsid w:val="000B1E13"/>
    <w:rsid w:val="000B3A53"/>
    <w:rsid w:val="000C382D"/>
    <w:rsid w:val="000C6E6C"/>
    <w:rsid w:val="000C7A92"/>
    <w:rsid w:val="000D2552"/>
    <w:rsid w:val="000D3A62"/>
    <w:rsid w:val="000D5694"/>
    <w:rsid w:val="000E0AAF"/>
    <w:rsid w:val="000E2ED5"/>
    <w:rsid w:val="000E3D7D"/>
    <w:rsid w:val="000E4C0E"/>
    <w:rsid w:val="000F03A7"/>
    <w:rsid w:val="000F15D5"/>
    <w:rsid w:val="000F17D7"/>
    <w:rsid w:val="000F1AA8"/>
    <w:rsid w:val="000F44A1"/>
    <w:rsid w:val="000F6BC1"/>
    <w:rsid w:val="0010058F"/>
    <w:rsid w:val="0010289E"/>
    <w:rsid w:val="001051F3"/>
    <w:rsid w:val="00110B09"/>
    <w:rsid w:val="00111C12"/>
    <w:rsid w:val="001123FC"/>
    <w:rsid w:val="00114B6F"/>
    <w:rsid w:val="00116813"/>
    <w:rsid w:val="00122BC5"/>
    <w:rsid w:val="00124B4F"/>
    <w:rsid w:val="00125448"/>
    <w:rsid w:val="00127B66"/>
    <w:rsid w:val="00130662"/>
    <w:rsid w:val="00131512"/>
    <w:rsid w:val="00132D76"/>
    <w:rsid w:val="00135F47"/>
    <w:rsid w:val="001360B3"/>
    <w:rsid w:val="00136628"/>
    <w:rsid w:val="001379D8"/>
    <w:rsid w:val="001423CF"/>
    <w:rsid w:val="001424E6"/>
    <w:rsid w:val="00142504"/>
    <w:rsid w:val="00142AD7"/>
    <w:rsid w:val="00145D3A"/>
    <w:rsid w:val="00147488"/>
    <w:rsid w:val="001516EF"/>
    <w:rsid w:val="001544F7"/>
    <w:rsid w:val="00155224"/>
    <w:rsid w:val="001554E9"/>
    <w:rsid w:val="0015701A"/>
    <w:rsid w:val="00161D84"/>
    <w:rsid w:val="00164A2A"/>
    <w:rsid w:val="00165362"/>
    <w:rsid w:val="00166733"/>
    <w:rsid w:val="00167BDB"/>
    <w:rsid w:val="0017088D"/>
    <w:rsid w:val="00175BD2"/>
    <w:rsid w:val="00181FC4"/>
    <w:rsid w:val="001877F9"/>
    <w:rsid w:val="00190C65"/>
    <w:rsid w:val="001974B6"/>
    <w:rsid w:val="00197FC7"/>
    <w:rsid w:val="001A2103"/>
    <w:rsid w:val="001A238B"/>
    <w:rsid w:val="001A2D1F"/>
    <w:rsid w:val="001A399B"/>
    <w:rsid w:val="001A3E9F"/>
    <w:rsid w:val="001A4194"/>
    <w:rsid w:val="001A70D7"/>
    <w:rsid w:val="001A78E0"/>
    <w:rsid w:val="001B130D"/>
    <w:rsid w:val="001B31FD"/>
    <w:rsid w:val="001B4195"/>
    <w:rsid w:val="001B56EC"/>
    <w:rsid w:val="001B7642"/>
    <w:rsid w:val="001D0CCF"/>
    <w:rsid w:val="001D0EDB"/>
    <w:rsid w:val="001D2857"/>
    <w:rsid w:val="001D3929"/>
    <w:rsid w:val="001D52EA"/>
    <w:rsid w:val="001D6D3A"/>
    <w:rsid w:val="001E029F"/>
    <w:rsid w:val="001E4E87"/>
    <w:rsid w:val="001E6C98"/>
    <w:rsid w:val="001F13D6"/>
    <w:rsid w:val="001F2141"/>
    <w:rsid w:val="001F299D"/>
    <w:rsid w:val="001F632C"/>
    <w:rsid w:val="001F706C"/>
    <w:rsid w:val="001F72DD"/>
    <w:rsid w:val="001F79DA"/>
    <w:rsid w:val="002005AC"/>
    <w:rsid w:val="00201298"/>
    <w:rsid w:val="002049F7"/>
    <w:rsid w:val="0020561A"/>
    <w:rsid w:val="002056E6"/>
    <w:rsid w:val="002119F9"/>
    <w:rsid w:val="00211B89"/>
    <w:rsid w:val="002133B1"/>
    <w:rsid w:val="0021786F"/>
    <w:rsid w:val="002219CA"/>
    <w:rsid w:val="002258B9"/>
    <w:rsid w:val="002272F4"/>
    <w:rsid w:val="0022788C"/>
    <w:rsid w:val="00227904"/>
    <w:rsid w:val="00232B50"/>
    <w:rsid w:val="0023442E"/>
    <w:rsid w:val="002349D0"/>
    <w:rsid w:val="00241F5D"/>
    <w:rsid w:val="00243E48"/>
    <w:rsid w:val="00244E59"/>
    <w:rsid w:val="002455DE"/>
    <w:rsid w:val="00250067"/>
    <w:rsid w:val="00251331"/>
    <w:rsid w:val="00252DD6"/>
    <w:rsid w:val="00254548"/>
    <w:rsid w:val="00254F79"/>
    <w:rsid w:val="0025693E"/>
    <w:rsid w:val="00257C98"/>
    <w:rsid w:val="00257EEE"/>
    <w:rsid w:val="00266C84"/>
    <w:rsid w:val="002705D3"/>
    <w:rsid w:val="002706FE"/>
    <w:rsid w:val="002716C5"/>
    <w:rsid w:val="00274A95"/>
    <w:rsid w:val="00277577"/>
    <w:rsid w:val="002844A5"/>
    <w:rsid w:val="00285093"/>
    <w:rsid w:val="00287FF8"/>
    <w:rsid w:val="00290ACE"/>
    <w:rsid w:val="002913FE"/>
    <w:rsid w:val="00291470"/>
    <w:rsid w:val="002A5BE7"/>
    <w:rsid w:val="002B1D61"/>
    <w:rsid w:val="002B51AA"/>
    <w:rsid w:val="002C089D"/>
    <w:rsid w:val="002C1FCC"/>
    <w:rsid w:val="002C2458"/>
    <w:rsid w:val="002C5CA8"/>
    <w:rsid w:val="002C6E66"/>
    <w:rsid w:val="002D1933"/>
    <w:rsid w:val="002D29AF"/>
    <w:rsid w:val="002D3CF1"/>
    <w:rsid w:val="002D4350"/>
    <w:rsid w:val="002D5135"/>
    <w:rsid w:val="002D5D45"/>
    <w:rsid w:val="002D5F1D"/>
    <w:rsid w:val="002D7ED7"/>
    <w:rsid w:val="002E285C"/>
    <w:rsid w:val="002E3F70"/>
    <w:rsid w:val="002E41DE"/>
    <w:rsid w:val="002E4F48"/>
    <w:rsid w:val="002E7799"/>
    <w:rsid w:val="002F193B"/>
    <w:rsid w:val="002F229A"/>
    <w:rsid w:val="002F431B"/>
    <w:rsid w:val="002F63C9"/>
    <w:rsid w:val="002F654B"/>
    <w:rsid w:val="0030439D"/>
    <w:rsid w:val="00304FB6"/>
    <w:rsid w:val="00305AD3"/>
    <w:rsid w:val="0030677C"/>
    <w:rsid w:val="003109C5"/>
    <w:rsid w:val="0031179A"/>
    <w:rsid w:val="00314BA6"/>
    <w:rsid w:val="00320250"/>
    <w:rsid w:val="00321726"/>
    <w:rsid w:val="003228A6"/>
    <w:rsid w:val="0032359A"/>
    <w:rsid w:val="003255EC"/>
    <w:rsid w:val="00326F92"/>
    <w:rsid w:val="00327D8A"/>
    <w:rsid w:val="0033492D"/>
    <w:rsid w:val="003356B6"/>
    <w:rsid w:val="00336866"/>
    <w:rsid w:val="00337D54"/>
    <w:rsid w:val="003406BF"/>
    <w:rsid w:val="0034074C"/>
    <w:rsid w:val="0034184F"/>
    <w:rsid w:val="00342A13"/>
    <w:rsid w:val="00343BAD"/>
    <w:rsid w:val="00344AD2"/>
    <w:rsid w:val="00347030"/>
    <w:rsid w:val="0034752B"/>
    <w:rsid w:val="00351FDE"/>
    <w:rsid w:val="003520D3"/>
    <w:rsid w:val="00352F40"/>
    <w:rsid w:val="003533DF"/>
    <w:rsid w:val="0035417D"/>
    <w:rsid w:val="00354C94"/>
    <w:rsid w:val="0035511D"/>
    <w:rsid w:val="0036587A"/>
    <w:rsid w:val="0037067C"/>
    <w:rsid w:val="003707D5"/>
    <w:rsid w:val="00371751"/>
    <w:rsid w:val="003726EF"/>
    <w:rsid w:val="00372812"/>
    <w:rsid w:val="003730B6"/>
    <w:rsid w:val="0037368F"/>
    <w:rsid w:val="003740F1"/>
    <w:rsid w:val="00375310"/>
    <w:rsid w:val="00375656"/>
    <w:rsid w:val="00380B86"/>
    <w:rsid w:val="003813A9"/>
    <w:rsid w:val="003825C9"/>
    <w:rsid w:val="00384A95"/>
    <w:rsid w:val="003865BE"/>
    <w:rsid w:val="00392E95"/>
    <w:rsid w:val="00393C5A"/>
    <w:rsid w:val="003A3AFC"/>
    <w:rsid w:val="003A3B82"/>
    <w:rsid w:val="003A4A5B"/>
    <w:rsid w:val="003B0621"/>
    <w:rsid w:val="003B170D"/>
    <w:rsid w:val="003B1E38"/>
    <w:rsid w:val="003B56ED"/>
    <w:rsid w:val="003C06E7"/>
    <w:rsid w:val="003C47DA"/>
    <w:rsid w:val="003D14AD"/>
    <w:rsid w:val="003D392E"/>
    <w:rsid w:val="003D4B59"/>
    <w:rsid w:val="003E17BA"/>
    <w:rsid w:val="003E1B5F"/>
    <w:rsid w:val="003E2C98"/>
    <w:rsid w:val="003F07B5"/>
    <w:rsid w:val="003F3708"/>
    <w:rsid w:val="003F4621"/>
    <w:rsid w:val="003F7F4A"/>
    <w:rsid w:val="00404BA2"/>
    <w:rsid w:val="00405C58"/>
    <w:rsid w:val="004060F8"/>
    <w:rsid w:val="00406443"/>
    <w:rsid w:val="0041065D"/>
    <w:rsid w:val="00411DD2"/>
    <w:rsid w:val="0041366B"/>
    <w:rsid w:val="004137D2"/>
    <w:rsid w:val="00413DE6"/>
    <w:rsid w:val="004206AE"/>
    <w:rsid w:val="004209AD"/>
    <w:rsid w:val="00422A30"/>
    <w:rsid w:val="00423137"/>
    <w:rsid w:val="0042351A"/>
    <w:rsid w:val="004259C1"/>
    <w:rsid w:val="00427FB6"/>
    <w:rsid w:val="00430839"/>
    <w:rsid w:val="00430A08"/>
    <w:rsid w:val="004326CE"/>
    <w:rsid w:val="00433B8E"/>
    <w:rsid w:val="004360E6"/>
    <w:rsid w:val="004406FF"/>
    <w:rsid w:val="00444810"/>
    <w:rsid w:val="00444ECD"/>
    <w:rsid w:val="0044562D"/>
    <w:rsid w:val="00446EAB"/>
    <w:rsid w:val="00447F45"/>
    <w:rsid w:val="004514AD"/>
    <w:rsid w:val="0045206B"/>
    <w:rsid w:val="004530D5"/>
    <w:rsid w:val="00454EC3"/>
    <w:rsid w:val="004566B3"/>
    <w:rsid w:val="0046146F"/>
    <w:rsid w:val="00461740"/>
    <w:rsid w:val="004625AC"/>
    <w:rsid w:val="004627D9"/>
    <w:rsid w:val="00463721"/>
    <w:rsid w:val="00467C5C"/>
    <w:rsid w:val="00470D20"/>
    <w:rsid w:val="0047384B"/>
    <w:rsid w:val="0047477D"/>
    <w:rsid w:val="0047494B"/>
    <w:rsid w:val="0047657B"/>
    <w:rsid w:val="00481C91"/>
    <w:rsid w:val="00482CCB"/>
    <w:rsid w:val="00484432"/>
    <w:rsid w:val="00486688"/>
    <w:rsid w:val="00492745"/>
    <w:rsid w:val="00492C1A"/>
    <w:rsid w:val="00496B96"/>
    <w:rsid w:val="004A071F"/>
    <w:rsid w:val="004A52F7"/>
    <w:rsid w:val="004A6819"/>
    <w:rsid w:val="004A71EE"/>
    <w:rsid w:val="004B0745"/>
    <w:rsid w:val="004B7E9D"/>
    <w:rsid w:val="004B7EAB"/>
    <w:rsid w:val="004C5A4B"/>
    <w:rsid w:val="004C6B8C"/>
    <w:rsid w:val="004C7360"/>
    <w:rsid w:val="004D1719"/>
    <w:rsid w:val="004D6475"/>
    <w:rsid w:val="004E029C"/>
    <w:rsid w:val="004E23A7"/>
    <w:rsid w:val="004E4FD7"/>
    <w:rsid w:val="004E5A35"/>
    <w:rsid w:val="004E6877"/>
    <w:rsid w:val="004F32E7"/>
    <w:rsid w:val="00502735"/>
    <w:rsid w:val="00503DD4"/>
    <w:rsid w:val="00505299"/>
    <w:rsid w:val="00505A3C"/>
    <w:rsid w:val="00506A4C"/>
    <w:rsid w:val="00507879"/>
    <w:rsid w:val="00507ECF"/>
    <w:rsid w:val="00510C87"/>
    <w:rsid w:val="00511B13"/>
    <w:rsid w:val="00514475"/>
    <w:rsid w:val="0051692E"/>
    <w:rsid w:val="0052015C"/>
    <w:rsid w:val="0052283C"/>
    <w:rsid w:val="0052387A"/>
    <w:rsid w:val="00527BE7"/>
    <w:rsid w:val="00530958"/>
    <w:rsid w:val="0053244B"/>
    <w:rsid w:val="00532508"/>
    <w:rsid w:val="005325D0"/>
    <w:rsid w:val="00533A72"/>
    <w:rsid w:val="00542674"/>
    <w:rsid w:val="005470DD"/>
    <w:rsid w:val="005518FF"/>
    <w:rsid w:val="00556835"/>
    <w:rsid w:val="00557EC3"/>
    <w:rsid w:val="0056083E"/>
    <w:rsid w:val="00561614"/>
    <w:rsid w:val="00561985"/>
    <w:rsid w:val="005647D6"/>
    <w:rsid w:val="0056495D"/>
    <w:rsid w:val="00566073"/>
    <w:rsid w:val="00566A94"/>
    <w:rsid w:val="00571A0B"/>
    <w:rsid w:val="00572165"/>
    <w:rsid w:val="005729B1"/>
    <w:rsid w:val="00574E08"/>
    <w:rsid w:val="005821E2"/>
    <w:rsid w:val="005858C3"/>
    <w:rsid w:val="0058679B"/>
    <w:rsid w:val="00590806"/>
    <w:rsid w:val="00592962"/>
    <w:rsid w:val="005974F1"/>
    <w:rsid w:val="005A04D5"/>
    <w:rsid w:val="005A0A69"/>
    <w:rsid w:val="005A26F6"/>
    <w:rsid w:val="005A391B"/>
    <w:rsid w:val="005B075D"/>
    <w:rsid w:val="005B2BE2"/>
    <w:rsid w:val="005B3E9A"/>
    <w:rsid w:val="005B51F0"/>
    <w:rsid w:val="005B79F8"/>
    <w:rsid w:val="005C24C1"/>
    <w:rsid w:val="005C2CF2"/>
    <w:rsid w:val="005C30E4"/>
    <w:rsid w:val="005D0137"/>
    <w:rsid w:val="005E1435"/>
    <w:rsid w:val="005E7959"/>
    <w:rsid w:val="005F1695"/>
    <w:rsid w:val="005F1980"/>
    <w:rsid w:val="005F5B4A"/>
    <w:rsid w:val="005F7DCE"/>
    <w:rsid w:val="00604A9D"/>
    <w:rsid w:val="006074AF"/>
    <w:rsid w:val="0061083A"/>
    <w:rsid w:val="006109D3"/>
    <w:rsid w:val="00610CFB"/>
    <w:rsid w:val="006245D1"/>
    <w:rsid w:val="00624CC2"/>
    <w:rsid w:val="00631CFB"/>
    <w:rsid w:val="00633ABB"/>
    <w:rsid w:val="0063735E"/>
    <w:rsid w:val="00640A46"/>
    <w:rsid w:val="00640D93"/>
    <w:rsid w:val="00642610"/>
    <w:rsid w:val="00643BB8"/>
    <w:rsid w:val="00644D3D"/>
    <w:rsid w:val="006465D0"/>
    <w:rsid w:val="00646954"/>
    <w:rsid w:val="006472A3"/>
    <w:rsid w:val="0064743C"/>
    <w:rsid w:val="006510E8"/>
    <w:rsid w:val="006512C9"/>
    <w:rsid w:val="00652423"/>
    <w:rsid w:val="00653294"/>
    <w:rsid w:val="00655BA3"/>
    <w:rsid w:val="006575C2"/>
    <w:rsid w:val="00670E48"/>
    <w:rsid w:val="0067240F"/>
    <w:rsid w:val="0067478F"/>
    <w:rsid w:val="00675CA0"/>
    <w:rsid w:val="00682404"/>
    <w:rsid w:val="00683B9C"/>
    <w:rsid w:val="00683E7C"/>
    <w:rsid w:val="006902ED"/>
    <w:rsid w:val="0069149F"/>
    <w:rsid w:val="00691847"/>
    <w:rsid w:val="00694C6F"/>
    <w:rsid w:val="00696951"/>
    <w:rsid w:val="00697EA1"/>
    <w:rsid w:val="006A2D46"/>
    <w:rsid w:val="006A3975"/>
    <w:rsid w:val="006A44F9"/>
    <w:rsid w:val="006A644C"/>
    <w:rsid w:val="006A694D"/>
    <w:rsid w:val="006B5D38"/>
    <w:rsid w:val="006C108A"/>
    <w:rsid w:val="006C38F4"/>
    <w:rsid w:val="006C7D3B"/>
    <w:rsid w:val="006D0023"/>
    <w:rsid w:val="006D03F6"/>
    <w:rsid w:val="006D568B"/>
    <w:rsid w:val="006D786B"/>
    <w:rsid w:val="006E31E1"/>
    <w:rsid w:val="006E3AAC"/>
    <w:rsid w:val="006E5C77"/>
    <w:rsid w:val="006E70F3"/>
    <w:rsid w:val="006E7D81"/>
    <w:rsid w:val="006F27B6"/>
    <w:rsid w:val="006F617E"/>
    <w:rsid w:val="007041B9"/>
    <w:rsid w:val="007051BB"/>
    <w:rsid w:val="00706BD1"/>
    <w:rsid w:val="0070754E"/>
    <w:rsid w:val="007116B0"/>
    <w:rsid w:val="0071399E"/>
    <w:rsid w:val="00715779"/>
    <w:rsid w:val="00715EBB"/>
    <w:rsid w:val="007169F4"/>
    <w:rsid w:val="007219E5"/>
    <w:rsid w:val="00722B26"/>
    <w:rsid w:val="00723FAE"/>
    <w:rsid w:val="00724650"/>
    <w:rsid w:val="00725555"/>
    <w:rsid w:val="00731087"/>
    <w:rsid w:val="00731C64"/>
    <w:rsid w:val="00732E1B"/>
    <w:rsid w:val="007355EE"/>
    <w:rsid w:val="00736283"/>
    <w:rsid w:val="00736291"/>
    <w:rsid w:val="00741FB1"/>
    <w:rsid w:val="00742E42"/>
    <w:rsid w:val="00750EE1"/>
    <w:rsid w:val="00752FE0"/>
    <w:rsid w:val="0075431C"/>
    <w:rsid w:val="00761281"/>
    <w:rsid w:val="00761768"/>
    <w:rsid w:val="007633E7"/>
    <w:rsid w:val="00764823"/>
    <w:rsid w:val="00765248"/>
    <w:rsid w:val="007760B8"/>
    <w:rsid w:val="00783D93"/>
    <w:rsid w:val="00783E00"/>
    <w:rsid w:val="007875FF"/>
    <w:rsid w:val="007877C9"/>
    <w:rsid w:val="00790B62"/>
    <w:rsid w:val="007920F7"/>
    <w:rsid w:val="007A019A"/>
    <w:rsid w:val="007A14D1"/>
    <w:rsid w:val="007A4190"/>
    <w:rsid w:val="007A5BD7"/>
    <w:rsid w:val="007B702C"/>
    <w:rsid w:val="007B7173"/>
    <w:rsid w:val="007B7DB3"/>
    <w:rsid w:val="007C333B"/>
    <w:rsid w:val="007C3D43"/>
    <w:rsid w:val="007C65A6"/>
    <w:rsid w:val="007D05BA"/>
    <w:rsid w:val="007D11EE"/>
    <w:rsid w:val="007D4596"/>
    <w:rsid w:val="007D57AC"/>
    <w:rsid w:val="007D6A32"/>
    <w:rsid w:val="007D76E9"/>
    <w:rsid w:val="007E1265"/>
    <w:rsid w:val="007E2BCC"/>
    <w:rsid w:val="007E4FAB"/>
    <w:rsid w:val="007E5A58"/>
    <w:rsid w:val="007E5D3D"/>
    <w:rsid w:val="007E73F3"/>
    <w:rsid w:val="007F03DF"/>
    <w:rsid w:val="007F0E7C"/>
    <w:rsid w:val="007F4DCA"/>
    <w:rsid w:val="007F5E88"/>
    <w:rsid w:val="0080398B"/>
    <w:rsid w:val="00805C3C"/>
    <w:rsid w:val="00807645"/>
    <w:rsid w:val="008137F9"/>
    <w:rsid w:val="00815210"/>
    <w:rsid w:val="00817B0A"/>
    <w:rsid w:val="00823232"/>
    <w:rsid w:val="00823D1B"/>
    <w:rsid w:val="00825EBB"/>
    <w:rsid w:val="008261F8"/>
    <w:rsid w:val="00826572"/>
    <w:rsid w:val="00827EA8"/>
    <w:rsid w:val="00832E37"/>
    <w:rsid w:val="00837180"/>
    <w:rsid w:val="00841FEB"/>
    <w:rsid w:val="0084337B"/>
    <w:rsid w:val="00843CFC"/>
    <w:rsid w:val="00844BA8"/>
    <w:rsid w:val="008450DC"/>
    <w:rsid w:val="008469D3"/>
    <w:rsid w:val="008503B1"/>
    <w:rsid w:val="00851167"/>
    <w:rsid w:val="00857B9D"/>
    <w:rsid w:val="00861392"/>
    <w:rsid w:val="008753DA"/>
    <w:rsid w:val="00876491"/>
    <w:rsid w:val="008768FE"/>
    <w:rsid w:val="00877A1E"/>
    <w:rsid w:val="008802C8"/>
    <w:rsid w:val="008808BF"/>
    <w:rsid w:val="00880F3D"/>
    <w:rsid w:val="008858D4"/>
    <w:rsid w:val="00886D58"/>
    <w:rsid w:val="00886EB7"/>
    <w:rsid w:val="00887C5A"/>
    <w:rsid w:val="0089333D"/>
    <w:rsid w:val="00893D20"/>
    <w:rsid w:val="00895430"/>
    <w:rsid w:val="00895B7E"/>
    <w:rsid w:val="008A2579"/>
    <w:rsid w:val="008A4E39"/>
    <w:rsid w:val="008A56A9"/>
    <w:rsid w:val="008A7904"/>
    <w:rsid w:val="008B0BE0"/>
    <w:rsid w:val="008B3C52"/>
    <w:rsid w:val="008B61F7"/>
    <w:rsid w:val="008C38A5"/>
    <w:rsid w:val="008D08DE"/>
    <w:rsid w:val="008D0F98"/>
    <w:rsid w:val="008D1D09"/>
    <w:rsid w:val="008D20B7"/>
    <w:rsid w:val="008D2D58"/>
    <w:rsid w:val="008D4E54"/>
    <w:rsid w:val="008E27AD"/>
    <w:rsid w:val="008E564C"/>
    <w:rsid w:val="008E5719"/>
    <w:rsid w:val="008F0001"/>
    <w:rsid w:val="008F01C7"/>
    <w:rsid w:val="008F121D"/>
    <w:rsid w:val="008F15F8"/>
    <w:rsid w:val="008F1A53"/>
    <w:rsid w:val="008F4132"/>
    <w:rsid w:val="008F4D8D"/>
    <w:rsid w:val="008F57F4"/>
    <w:rsid w:val="008F6E28"/>
    <w:rsid w:val="0090493B"/>
    <w:rsid w:val="00905278"/>
    <w:rsid w:val="0091145E"/>
    <w:rsid w:val="009118E1"/>
    <w:rsid w:val="00916CF2"/>
    <w:rsid w:val="00917E21"/>
    <w:rsid w:val="00920524"/>
    <w:rsid w:val="00920790"/>
    <w:rsid w:val="00923F61"/>
    <w:rsid w:val="009267D8"/>
    <w:rsid w:val="00930402"/>
    <w:rsid w:val="009305BF"/>
    <w:rsid w:val="0093114C"/>
    <w:rsid w:val="0093195F"/>
    <w:rsid w:val="009373BF"/>
    <w:rsid w:val="00937ED2"/>
    <w:rsid w:val="00942E99"/>
    <w:rsid w:val="00942F14"/>
    <w:rsid w:val="009430EB"/>
    <w:rsid w:val="00943A3D"/>
    <w:rsid w:val="00954B7E"/>
    <w:rsid w:val="00955028"/>
    <w:rsid w:val="00957102"/>
    <w:rsid w:val="009572D6"/>
    <w:rsid w:val="00960F20"/>
    <w:rsid w:val="009611F6"/>
    <w:rsid w:val="00962DD0"/>
    <w:rsid w:val="00963E91"/>
    <w:rsid w:val="00965421"/>
    <w:rsid w:val="00967160"/>
    <w:rsid w:val="00967C08"/>
    <w:rsid w:val="00971E85"/>
    <w:rsid w:val="00972D91"/>
    <w:rsid w:val="00976603"/>
    <w:rsid w:val="009777DE"/>
    <w:rsid w:val="009807CF"/>
    <w:rsid w:val="00980B98"/>
    <w:rsid w:val="009839C2"/>
    <w:rsid w:val="009845F5"/>
    <w:rsid w:val="00985FBF"/>
    <w:rsid w:val="00986C0A"/>
    <w:rsid w:val="00990431"/>
    <w:rsid w:val="00990F36"/>
    <w:rsid w:val="00991816"/>
    <w:rsid w:val="00996486"/>
    <w:rsid w:val="0099683A"/>
    <w:rsid w:val="009A0C15"/>
    <w:rsid w:val="009A2A44"/>
    <w:rsid w:val="009A57E7"/>
    <w:rsid w:val="009B055B"/>
    <w:rsid w:val="009B2A39"/>
    <w:rsid w:val="009B670B"/>
    <w:rsid w:val="009B7EFA"/>
    <w:rsid w:val="009C1992"/>
    <w:rsid w:val="009C5BE0"/>
    <w:rsid w:val="009C6104"/>
    <w:rsid w:val="009C6734"/>
    <w:rsid w:val="009C7698"/>
    <w:rsid w:val="009D083E"/>
    <w:rsid w:val="009D6649"/>
    <w:rsid w:val="009D7D9E"/>
    <w:rsid w:val="009E0D92"/>
    <w:rsid w:val="009E3F55"/>
    <w:rsid w:val="009E6BAF"/>
    <w:rsid w:val="009E6FE9"/>
    <w:rsid w:val="009F24CF"/>
    <w:rsid w:val="009F45B2"/>
    <w:rsid w:val="009F46F5"/>
    <w:rsid w:val="009F7795"/>
    <w:rsid w:val="00A05440"/>
    <w:rsid w:val="00A06B40"/>
    <w:rsid w:val="00A11128"/>
    <w:rsid w:val="00A11A23"/>
    <w:rsid w:val="00A11C56"/>
    <w:rsid w:val="00A11D04"/>
    <w:rsid w:val="00A131A1"/>
    <w:rsid w:val="00A149E6"/>
    <w:rsid w:val="00A27CD1"/>
    <w:rsid w:val="00A32082"/>
    <w:rsid w:val="00A33D4E"/>
    <w:rsid w:val="00A3454C"/>
    <w:rsid w:val="00A34851"/>
    <w:rsid w:val="00A41BD3"/>
    <w:rsid w:val="00A41F70"/>
    <w:rsid w:val="00A42F92"/>
    <w:rsid w:val="00A43C92"/>
    <w:rsid w:val="00A44DE1"/>
    <w:rsid w:val="00A44E79"/>
    <w:rsid w:val="00A44FBE"/>
    <w:rsid w:val="00A50079"/>
    <w:rsid w:val="00A50D63"/>
    <w:rsid w:val="00A5159D"/>
    <w:rsid w:val="00A5369E"/>
    <w:rsid w:val="00A53A70"/>
    <w:rsid w:val="00A54179"/>
    <w:rsid w:val="00A54DA7"/>
    <w:rsid w:val="00A557E0"/>
    <w:rsid w:val="00A65488"/>
    <w:rsid w:val="00A659BA"/>
    <w:rsid w:val="00A67F90"/>
    <w:rsid w:val="00A71192"/>
    <w:rsid w:val="00A73166"/>
    <w:rsid w:val="00A73B91"/>
    <w:rsid w:val="00A74C9E"/>
    <w:rsid w:val="00A811E7"/>
    <w:rsid w:val="00A81F30"/>
    <w:rsid w:val="00A824D8"/>
    <w:rsid w:val="00A84185"/>
    <w:rsid w:val="00A87039"/>
    <w:rsid w:val="00A91539"/>
    <w:rsid w:val="00A9215F"/>
    <w:rsid w:val="00A94E2B"/>
    <w:rsid w:val="00AA00BE"/>
    <w:rsid w:val="00AA142F"/>
    <w:rsid w:val="00AA3280"/>
    <w:rsid w:val="00AB08BE"/>
    <w:rsid w:val="00AB15C3"/>
    <w:rsid w:val="00AB189C"/>
    <w:rsid w:val="00AB1A3E"/>
    <w:rsid w:val="00AB6C1A"/>
    <w:rsid w:val="00AB6CC1"/>
    <w:rsid w:val="00AC2092"/>
    <w:rsid w:val="00AC629B"/>
    <w:rsid w:val="00AC71AE"/>
    <w:rsid w:val="00AC7508"/>
    <w:rsid w:val="00AD029E"/>
    <w:rsid w:val="00AD1099"/>
    <w:rsid w:val="00AD294F"/>
    <w:rsid w:val="00AF164B"/>
    <w:rsid w:val="00AF290E"/>
    <w:rsid w:val="00AF41C2"/>
    <w:rsid w:val="00AF474C"/>
    <w:rsid w:val="00AF604B"/>
    <w:rsid w:val="00AF67D3"/>
    <w:rsid w:val="00AF7868"/>
    <w:rsid w:val="00B00728"/>
    <w:rsid w:val="00B047B8"/>
    <w:rsid w:val="00B06C7B"/>
    <w:rsid w:val="00B159C3"/>
    <w:rsid w:val="00B16E20"/>
    <w:rsid w:val="00B17336"/>
    <w:rsid w:val="00B207E1"/>
    <w:rsid w:val="00B219C6"/>
    <w:rsid w:val="00B21B30"/>
    <w:rsid w:val="00B225E7"/>
    <w:rsid w:val="00B34C26"/>
    <w:rsid w:val="00B34CEF"/>
    <w:rsid w:val="00B442CF"/>
    <w:rsid w:val="00B50DCD"/>
    <w:rsid w:val="00B5280D"/>
    <w:rsid w:val="00B629EE"/>
    <w:rsid w:val="00B6346F"/>
    <w:rsid w:val="00B64403"/>
    <w:rsid w:val="00B64B62"/>
    <w:rsid w:val="00B64BB1"/>
    <w:rsid w:val="00B6670B"/>
    <w:rsid w:val="00B67EFD"/>
    <w:rsid w:val="00B74C79"/>
    <w:rsid w:val="00B80217"/>
    <w:rsid w:val="00B80A02"/>
    <w:rsid w:val="00B81561"/>
    <w:rsid w:val="00B83938"/>
    <w:rsid w:val="00B90599"/>
    <w:rsid w:val="00B9386E"/>
    <w:rsid w:val="00B95707"/>
    <w:rsid w:val="00B95963"/>
    <w:rsid w:val="00B97D9A"/>
    <w:rsid w:val="00BA0CE0"/>
    <w:rsid w:val="00BA1B52"/>
    <w:rsid w:val="00BA2C36"/>
    <w:rsid w:val="00BB0F8A"/>
    <w:rsid w:val="00BB631B"/>
    <w:rsid w:val="00BB68CD"/>
    <w:rsid w:val="00BB6B31"/>
    <w:rsid w:val="00BC302E"/>
    <w:rsid w:val="00BC4755"/>
    <w:rsid w:val="00BC656C"/>
    <w:rsid w:val="00BD01E7"/>
    <w:rsid w:val="00BD57FF"/>
    <w:rsid w:val="00BD6445"/>
    <w:rsid w:val="00BE70FD"/>
    <w:rsid w:val="00BF03C9"/>
    <w:rsid w:val="00BF5352"/>
    <w:rsid w:val="00C0300C"/>
    <w:rsid w:val="00C040CF"/>
    <w:rsid w:val="00C0480D"/>
    <w:rsid w:val="00C05DD4"/>
    <w:rsid w:val="00C103C9"/>
    <w:rsid w:val="00C10778"/>
    <w:rsid w:val="00C11FB1"/>
    <w:rsid w:val="00C12B71"/>
    <w:rsid w:val="00C157ED"/>
    <w:rsid w:val="00C17059"/>
    <w:rsid w:val="00C20D41"/>
    <w:rsid w:val="00C212F5"/>
    <w:rsid w:val="00C27E58"/>
    <w:rsid w:val="00C30ADF"/>
    <w:rsid w:val="00C31685"/>
    <w:rsid w:val="00C3233C"/>
    <w:rsid w:val="00C32AF5"/>
    <w:rsid w:val="00C34103"/>
    <w:rsid w:val="00C34FFF"/>
    <w:rsid w:val="00C43C9D"/>
    <w:rsid w:val="00C468AB"/>
    <w:rsid w:val="00C47A78"/>
    <w:rsid w:val="00C57202"/>
    <w:rsid w:val="00C60968"/>
    <w:rsid w:val="00C6350C"/>
    <w:rsid w:val="00C64FD3"/>
    <w:rsid w:val="00C6589F"/>
    <w:rsid w:val="00C67205"/>
    <w:rsid w:val="00C70553"/>
    <w:rsid w:val="00C713F3"/>
    <w:rsid w:val="00C75DB3"/>
    <w:rsid w:val="00C76630"/>
    <w:rsid w:val="00C90D3F"/>
    <w:rsid w:val="00C93E07"/>
    <w:rsid w:val="00C95E36"/>
    <w:rsid w:val="00C95FFD"/>
    <w:rsid w:val="00CA760E"/>
    <w:rsid w:val="00CB14B4"/>
    <w:rsid w:val="00CB1803"/>
    <w:rsid w:val="00CB4DA9"/>
    <w:rsid w:val="00CB689F"/>
    <w:rsid w:val="00CC61C1"/>
    <w:rsid w:val="00CC63A8"/>
    <w:rsid w:val="00CC69D2"/>
    <w:rsid w:val="00CD0D23"/>
    <w:rsid w:val="00CD146F"/>
    <w:rsid w:val="00CD2590"/>
    <w:rsid w:val="00CD29AD"/>
    <w:rsid w:val="00CD37F2"/>
    <w:rsid w:val="00CD45FD"/>
    <w:rsid w:val="00CD6DC0"/>
    <w:rsid w:val="00CD786B"/>
    <w:rsid w:val="00CE1FAD"/>
    <w:rsid w:val="00CE249C"/>
    <w:rsid w:val="00CE2D63"/>
    <w:rsid w:val="00CE5140"/>
    <w:rsid w:val="00CE5535"/>
    <w:rsid w:val="00CE5B93"/>
    <w:rsid w:val="00CE6483"/>
    <w:rsid w:val="00CE67A6"/>
    <w:rsid w:val="00CF35A9"/>
    <w:rsid w:val="00CF6967"/>
    <w:rsid w:val="00D03800"/>
    <w:rsid w:val="00D04075"/>
    <w:rsid w:val="00D04132"/>
    <w:rsid w:val="00D06AA1"/>
    <w:rsid w:val="00D13274"/>
    <w:rsid w:val="00D13D66"/>
    <w:rsid w:val="00D14307"/>
    <w:rsid w:val="00D1682D"/>
    <w:rsid w:val="00D22005"/>
    <w:rsid w:val="00D23C46"/>
    <w:rsid w:val="00D24682"/>
    <w:rsid w:val="00D24D5F"/>
    <w:rsid w:val="00D256EC"/>
    <w:rsid w:val="00D2656A"/>
    <w:rsid w:val="00D27349"/>
    <w:rsid w:val="00D30835"/>
    <w:rsid w:val="00D33AA6"/>
    <w:rsid w:val="00D3670D"/>
    <w:rsid w:val="00D37267"/>
    <w:rsid w:val="00D412E1"/>
    <w:rsid w:val="00D43204"/>
    <w:rsid w:val="00D44298"/>
    <w:rsid w:val="00D46244"/>
    <w:rsid w:val="00D50022"/>
    <w:rsid w:val="00D500C9"/>
    <w:rsid w:val="00D53B07"/>
    <w:rsid w:val="00D56734"/>
    <w:rsid w:val="00D56D84"/>
    <w:rsid w:val="00D57695"/>
    <w:rsid w:val="00D57E66"/>
    <w:rsid w:val="00D650BA"/>
    <w:rsid w:val="00D66C21"/>
    <w:rsid w:val="00D67115"/>
    <w:rsid w:val="00D716EA"/>
    <w:rsid w:val="00D773C5"/>
    <w:rsid w:val="00D80353"/>
    <w:rsid w:val="00D81FB0"/>
    <w:rsid w:val="00D842A5"/>
    <w:rsid w:val="00D85D34"/>
    <w:rsid w:val="00D85EAF"/>
    <w:rsid w:val="00D87393"/>
    <w:rsid w:val="00D91255"/>
    <w:rsid w:val="00D917EB"/>
    <w:rsid w:val="00D92B08"/>
    <w:rsid w:val="00D93D2E"/>
    <w:rsid w:val="00D946CB"/>
    <w:rsid w:val="00D94999"/>
    <w:rsid w:val="00D96C6D"/>
    <w:rsid w:val="00DA0D2D"/>
    <w:rsid w:val="00DA259C"/>
    <w:rsid w:val="00DA2FDE"/>
    <w:rsid w:val="00DA3734"/>
    <w:rsid w:val="00DA3B09"/>
    <w:rsid w:val="00DA6F41"/>
    <w:rsid w:val="00DA6F7E"/>
    <w:rsid w:val="00DA79B4"/>
    <w:rsid w:val="00DB0969"/>
    <w:rsid w:val="00DB2031"/>
    <w:rsid w:val="00DB2A3C"/>
    <w:rsid w:val="00DB3F29"/>
    <w:rsid w:val="00DB53E5"/>
    <w:rsid w:val="00DB7340"/>
    <w:rsid w:val="00DB7FEE"/>
    <w:rsid w:val="00DC1A8B"/>
    <w:rsid w:val="00DC3B19"/>
    <w:rsid w:val="00DD1C33"/>
    <w:rsid w:val="00DD2074"/>
    <w:rsid w:val="00DD254B"/>
    <w:rsid w:val="00DD2B2B"/>
    <w:rsid w:val="00DD3D35"/>
    <w:rsid w:val="00DD72A1"/>
    <w:rsid w:val="00DE176B"/>
    <w:rsid w:val="00DE6BAC"/>
    <w:rsid w:val="00DF0248"/>
    <w:rsid w:val="00DF16D1"/>
    <w:rsid w:val="00DF3474"/>
    <w:rsid w:val="00DF4F9D"/>
    <w:rsid w:val="00DF740E"/>
    <w:rsid w:val="00E11AD0"/>
    <w:rsid w:val="00E11D15"/>
    <w:rsid w:val="00E14798"/>
    <w:rsid w:val="00E161B2"/>
    <w:rsid w:val="00E16790"/>
    <w:rsid w:val="00E21368"/>
    <w:rsid w:val="00E2212F"/>
    <w:rsid w:val="00E22AA3"/>
    <w:rsid w:val="00E22B50"/>
    <w:rsid w:val="00E2361F"/>
    <w:rsid w:val="00E258E3"/>
    <w:rsid w:val="00E318C1"/>
    <w:rsid w:val="00E3275A"/>
    <w:rsid w:val="00E33536"/>
    <w:rsid w:val="00E33DEB"/>
    <w:rsid w:val="00E3660F"/>
    <w:rsid w:val="00E45355"/>
    <w:rsid w:val="00E50DF1"/>
    <w:rsid w:val="00E53304"/>
    <w:rsid w:val="00E543DE"/>
    <w:rsid w:val="00E6499B"/>
    <w:rsid w:val="00E67772"/>
    <w:rsid w:val="00E67B31"/>
    <w:rsid w:val="00E67ECC"/>
    <w:rsid w:val="00E70262"/>
    <w:rsid w:val="00E7283D"/>
    <w:rsid w:val="00E7284D"/>
    <w:rsid w:val="00E739E9"/>
    <w:rsid w:val="00E751D3"/>
    <w:rsid w:val="00E77445"/>
    <w:rsid w:val="00E77692"/>
    <w:rsid w:val="00E826F4"/>
    <w:rsid w:val="00E87DCC"/>
    <w:rsid w:val="00E906B6"/>
    <w:rsid w:val="00E91173"/>
    <w:rsid w:val="00E9681C"/>
    <w:rsid w:val="00EA1129"/>
    <w:rsid w:val="00EA310D"/>
    <w:rsid w:val="00EA3C09"/>
    <w:rsid w:val="00EA705B"/>
    <w:rsid w:val="00EC1B0B"/>
    <w:rsid w:val="00EC5A71"/>
    <w:rsid w:val="00EC6647"/>
    <w:rsid w:val="00EC67E0"/>
    <w:rsid w:val="00ED19BC"/>
    <w:rsid w:val="00ED3397"/>
    <w:rsid w:val="00ED37F2"/>
    <w:rsid w:val="00ED4A1A"/>
    <w:rsid w:val="00ED745A"/>
    <w:rsid w:val="00ED76C9"/>
    <w:rsid w:val="00ED77EA"/>
    <w:rsid w:val="00EE0737"/>
    <w:rsid w:val="00EE36B3"/>
    <w:rsid w:val="00EE52EE"/>
    <w:rsid w:val="00EE641E"/>
    <w:rsid w:val="00EE65A8"/>
    <w:rsid w:val="00EE7D9E"/>
    <w:rsid w:val="00EF03BC"/>
    <w:rsid w:val="00EF1789"/>
    <w:rsid w:val="00EF4BC1"/>
    <w:rsid w:val="00EF525F"/>
    <w:rsid w:val="00EF670E"/>
    <w:rsid w:val="00F00AD3"/>
    <w:rsid w:val="00F02E94"/>
    <w:rsid w:val="00F0385C"/>
    <w:rsid w:val="00F05511"/>
    <w:rsid w:val="00F0593C"/>
    <w:rsid w:val="00F068A4"/>
    <w:rsid w:val="00F06E9E"/>
    <w:rsid w:val="00F16992"/>
    <w:rsid w:val="00F17661"/>
    <w:rsid w:val="00F20A5E"/>
    <w:rsid w:val="00F20E12"/>
    <w:rsid w:val="00F22FDD"/>
    <w:rsid w:val="00F32733"/>
    <w:rsid w:val="00F33A20"/>
    <w:rsid w:val="00F33A87"/>
    <w:rsid w:val="00F33F52"/>
    <w:rsid w:val="00F36897"/>
    <w:rsid w:val="00F40448"/>
    <w:rsid w:val="00F4705E"/>
    <w:rsid w:val="00F50A42"/>
    <w:rsid w:val="00F54753"/>
    <w:rsid w:val="00F547D4"/>
    <w:rsid w:val="00F57392"/>
    <w:rsid w:val="00F57C89"/>
    <w:rsid w:val="00F61035"/>
    <w:rsid w:val="00F6258A"/>
    <w:rsid w:val="00F63015"/>
    <w:rsid w:val="00F632B7"/>
    <w:rsid w:val="00F65020"/>
    <w:rsid w:val="00F7293D"/>
    <w:rsid w:val="00F7513A"/>
    <w:rsid w:val="00F7578F"/>
    <w:rsid w:val="00F8029A"/>
    <w:rsid w:val="00F815B6"/>
    <w:rsid w:val="00F82D14"/>
    <w:rsid w:val="00F836FF"/>
    <w:rsid w:val="00F84CB2"/>
    <w:rsid w:val="00F90FC3"/>
    <w:rsid w:val="00F91978"/>
    <w:rsid w:val="00F9215C"/>
    <w:rsid w:val="00F96298"/>
    <w:rsid w:val="00F96D70"/>
    <w:rsid w:val="00FA0DBF"/>
    <w:rsid w:val="00FA1196"/>
    <w:rsid w:val="00FA47E8"/>
    <w:rsid w:val="00FA7036"/>
    <w:rsid w:val="00FA7C30"/>
    <w:rsid w:val="00FB057F"/>
    <w:rsid w:val="00FB1962"/>
    <w:rsid w:val="00FB514F"/>
    <w:rsid w:val="00FB6665"/>
    <w:rsid w:val="00FC1A5E"/>
    <w:rsid w:val="00FC21E3"/>
    <w:rsid w:val="00FC2A12"/>
    <w:rsid w:val="00FC3CA7"/>
    <w:rsid w:val="00FC6334"/>
    <w:rsid w:val="00FD42B1"/>
    <w:rsid w:val="00FE0036"/>
    <w:rsid w:val="00FE3BBD"/>
    <w:rsid w:val="00FE47F3"/>
    <w:rsid w:val="00FF137A"/>
    <w:rsid w:val="00FF3241"/>
    <w:rsid w:val="00FF3395"/>
    <w:rsid w:val="00FF4963"/>
    <w:rsid w:val="00FF4FCD"/>
    <w:rsid w:val="00FF52F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5879228"/>
  <w15:chartTrackingRefBased/>
  <w15:docId w15:val="{F648F92E-6490-F64D-BB49-46D622290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80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B09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09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09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09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09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096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096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096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096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09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09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09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09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09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09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09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09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0969"/>
    <w:rPr>
      <w:rFonts w:eastAsiaTheme="majorEastAsia" w:cstheme="majorBidi"/>
      <w:color w:val="272727" w:themeColor="text1" w:themeTint="D8"/>
    </w:rPr>
  </w:style>
  <w:style w:type="paragraph" w:styleId="Title">
    <w:name w:val="Title"/>
    <w:basedOn w:val="Normal"/>
    <w:next w:val="Normal"/>
    <w:link w:val="TitleChar"/>
    <w:uiPriority w:val="10"/>
    <w:qFormat/>
    <w:rsid w:val="00DB096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09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09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09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0969"/>
    <w:pPr>
      <w:spacing w:before="160"/>
      <w:jc w:val="center"/>
    </w:pPr>
    <w:rPr>
      <w:i/>
      <w:iCs/>
      <w:color w:val="404040" w:themeColor="text1" w:themeTint="BF"/>
    </w:rPr>
  </w:style>
  <w:style w:type="character" w:customStyle="1" w:styleId="QuoteChar">
    <w:name w:val="Quote Char"/>
    <w:basedOn w:val="DefaultParagraphFont"/>
    <w:link w:val="Quote"/>
    <w:uiPriority w:val="29"/>
    <w:rsid w:val="00DB0969"/>
    <w:rPr>
      <w:i/>
      <w:iCs/>
      <w:color w:val="404040" w:themeColor="text1" w:themeTint="BF"/>
    </w:rPr>
  </w:style>
  <w:style w:type="paragraph" w:styleId="ListParagraph">
    <w:name w:val="List Paragraph"/>
    <w:basedOn w:val="Normal"/>
    <w:uiPriority w:val="34"/>
    <w:qFormat/>
    <w:rsid w:val="00DB0969"/>
    <w:pPr>
      <w:ind w:left="720"/>
      <w:contextualSpacing/>
    </w:pPr>
  </w:style>
  <w:style w:type="character" w:styleId="IntenseEmphasis">
    <w:name w:val="Intense Emphasis"/>
    <w:basedOn w:val="DefaultParagraphFont"/>
    <w:uiPriority w:val="21"/>
    <w:qFormat/>
    <w:rsid w:val="00DB0969"/>
    <w:rPr>
      <w:i/>
      <w:iCs/>
      <w:color w:val="0F4761" w:themeColor="accent1" w:themeShade="BF"/>
    </w:rPr>
  </w:style>
  <w:style w:type="paragraph" w:styleId="IntenseQuote">
    <w:name w:val="Intense Quote"/>
    <w:basedOn w:val="Normal"/>
    <w:next w:val="Normal"/>
    <w:link w:val="IntenseQuoteChar"/>
    <w:uiPriority w:val="30"/>
    <w:qFormat/>
    <w:rsid w:val="00DB09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0969"/>
    <w:rPr>
      <w:i/>
      <w:iCs/>
      <w:color w:val="0F4761" w:themeColor="accent1" w:themeShade="BF"/>
    </w:rPr>
  </w:style>
  <w:style w:type="character" w:styleId="IntenseReference">
    <w:name w:val="Intense Reference"/>
    <w:basedOn w:val="DefaultParagraphFont"/>
    <w:uiPriority w:val="32"/>
    <w:qFormat/>
    <w:rsid w:val="00DB0969"/>
    <w:rPr>
      <w:b/>
      <w:bCs/>
      <w:smallCaps/>
      <w:color w:val="0F4761" w:themeColor="accent1" w:themeShade="BF"/>
      <w:spacing w:val="5"/>
    </w:rPr>
  </w:style>
  <w:style w:type="character" w:styleId="Hyperlink">
    <w:name w:val="Hyperlink"/>
    <w:basedOn w:val="DefaultParagraphFont"/>
    <w:uiPriority w:val="99"/>
    <w:unhideWhenUsed/>
    <w:rsid w:val="00287FF8"/>
    <w:rPr>
      <w:color w:val="467886" w:themeColor="hyperlink"/>
      <w:u w:val="single"/>
    </w:rPr>
  </w:style>
  <w:style w:type="character" w:styleId="UnresolvedMention">
    <w:name w:val="Unresolved Mention"/>
    <w:basedOn w:val="DefaultParagraphFont"/>
    <w:uiPriority w:val="99"/>
    <w:semiHidden/>
    <w:unhideWhenUsed/>
    <w:rsid w:val="00287FF8"/>
    <w:rPr>
      <w:color w:val="605E5C"/>
      <w:shd w:val="clear" w:color="auto" w:fill="E1DFDD"/>
    </w:rPr>
  </w:style>
  <w:style w:type="paragraph" w:styleId="NormalWeb">
    <w:name w:val="Normal (Web)"/>
    <w:basedOn w:val="Normal"/>
    <w:uiPriority w:val="99"/>
    <w:semiHidden/>
    <w:unhideWhenUsed/>
    <w:rsid w:val="00590806"/>
    <w:pPr>
      <w:spacing w:before="100" w:beforeAutospacing="1" w:after="100" w:afterAutospacing="1"/>
    </w:pPr>
  </w:style>
  <w:style w:type="character" w:styleId="Strong">
    <w:name w:val="Strong"/>
    <w:basedOn w:val="DefaultParagraphFont"/>
    <w:uiPriority w:val="22"/>
    <w:qFormat/>
    <w:rsid w:val="00590806"/>
    <w:rPr>
      <w:b/>
      <w:bCs/>
    </w:rPr>
  </w:style>
  <w:style w:type="character" w:styleId="FollowedHyperlink">
    <w:name w:val="FollowedHyperlink"/>
    <w:basedOn w:val="DefaultParagraphFont"/>
    <w:uiPriority w:val="99"/>
    <w:semiHidden/>
    <w:unhideWhenUsed/>
    <w:rsid w:val="001E029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96737">
      <w:bodyDiv w:val="1"/>
      <w:marLeft w:val="0"/>
      <w:marRight w:val="0"/>
      <w:marTop w:val="0"/>
      <w:marBottom w:val="0"/>
      <w:divBdr>
        <w:top w:val="none" w:sz="0" w:space="0" w:color="auto"/>
        <w:left w:val="none" w:sz="0" w:space="0" w:color="auto"/>
        <w:bottom w:val="none" w:sz="0" w:space="0" w:color="auto"/>
        <w:right w:val="none" w:sz="0" w:space="0" w:color="auto"/>
      </w:divBdr>
    </w:div>
    <w:div w:id="59015051">
      <w:bodyDiv w:val="1"/>
      <w:marLeft w:val="0"/>
      <w:marRight w:val="0"/>
      <w:marTop w:val="0"/>
      <w:marBottom w:val="0"/>
      <w:divBdr>
        <w:top w:val="none" w:sz="0" w:space="0" w:color="auto"/>
        <w:left w:val="none" w:sz="0" w:space="0" w:color="auto"/>
        <w:bottom w:val="none" w:sz="0" w:space="0" w:color="auto"/>
        <w:right w:val="none" w:sz="0" w:space="0" w:color="auto"/>
      </w:divBdr>
    </w:div>
    <w:div w:id="481313073">
      <w:bodyDiv w:val="1"/>
      <w:marLeft w:val="0"/>
      <w:marRight w:val="0"/>
      <w:marTop w:val="0"/>
      <w:marBottom w:val="0"/>
      <w:divBdr>
        <w:top w:val="none" w:sz="0" w:space="0" w:color="auto"/>
        <w:left w:val="none" w:sz="0" w:space="0" w:color="auto"/>
        <w:bottom w:val="none" w:sz="0" w:space="0" w:color="auto"/>
        <w:right w:val="none" w:sz="0" w:space="0" w:color="auto"/>
      </w:divBdr>
    </w:div>
    <w:div w:id="521162263">
      <w:bodyDiv w:val="1"/>
      <w:marLeft w:val="0"/>
      <w:marRight w:val="0"/>
      <w:marTop w:val="0"/>
      <w:marBottom w:val="0"/>
      <w:divBdr>
        <w:top w:val="none" w:sz="0" w:space="0" w:color="auto"/>
        <w:left w:val="none" w:sz="0" w:space="0" w:color="auto"/>
        <w:bottom w:val="none" w:sz="0" w:space="0" w:color="auto"/>
        <w:right w:val="none" w:sz="0" w:space="0" w:color="auto"/>
      </w:divBdr>
    </w:div>
    <w:div w:id="614407733">
      <w:bodyDiv w:val="1"/>
      <w:marLeft w:val="0"/>
      <w:marRight w:val="0"/>
      <w:marTop w:val="0"/>
      <w:marBottom w:val="0"/>
      <w:divBdr>
        <w:top w:val="none" w:sz="0" w:space="0" w:color="auto"/>
        <w:left w:val="none" w:sz="0" w:space="0" w:color="auto"/>
        <w:bottom w:val="none" w:sz="0" w:space="0" w:color="auto"/>
        <w:right w:val="none" w:sz="0" w:space="0" w:color="auto"/>
      </w:divBdr>
    </w:div>
    <w:div w:id="1101416354">
      <w:bodyDiv w:val="1"/>
      <w:marLeft w:val="0"/>
      <w:marRight w:val="0"/>
      <w:marTop w:val="0"/>
      <w:marBottom w:val="0"/>
      <w:divBdr>
        <w:top w:val="none" w:sz="0" w:space="0" w:color="auto"/>
        <w:left w:val="none" w:sz="0" w:space="0" w:color="auto"/>
        <w:bottom w:val="none" w:sz="0" w:space="0" w:color="auto"/>
        <w:right w:val="none" w:sz="0" w:space="0" w:color="auto"/>
      </w:divBdr>
    </w:div>
    <w:div w:id="1138767889">
      <w:bodyDiv w:val="1"/>
      <w:marLeft w:val="0"/>
      <w:marRight w:val="0"/>
      <w:marTop w:val="0"/>
      <w:marBottom w:val="0"/>
      <w:divBdr>
        <w:top w:val="none" w:sz="0" w:space="0" w:color="auto"/>
        <w:left w:val="none" w:sz="0" w:space="0" w:color="auto"/>
        <w:bottom w:val="none" w:sz="0" w:space="0" w:color="auto"/>
        <w:right w:val="none" w:sz="0" w:space="0" w:color="auto"/>
      </w:divBdr>
    </w:div>
    <w:div w:id="1649091964">
      <w:bodyDiv w:val="1"/>
      <w:marLeft w:val="0"/>
      <w:marRight w:val="0"/>
      <w:marTop w:val="0"/>
      <w:marBottom w:val="0"/>
      <w:divBdr>
        <w:top w:val="none" w:sz="0" w:space="0" w:color="auto"/>
        <w:left w:val="none" w:sz="0" w:space="0" w:color="auto"/>
        <w:bottom w:val="none" w:sz="0" w:space="0" w:color="auto"/>
        <w:right w:val="none" w:sz="0" w:space="0" w:color="auto"/>
      </w:divBdr>
    </w:div>
    <w:div w:id="1650285697">
      <w:bodyDiv w:val="1"/>
      <w:marLeft w:val="0"/>
      <w:marRight w:val="0"/>
      <w:marTop w:val="0"/>
      <w:marBottom w:val="0"/>
      <w:divBdr>
        <w:top w:val="none" w:sz="0" w:space="0" w:color="auto"/>
        <w:left w:val="none" w:sz="0" w:space="0" w:color="auto"/>
        <w:bottom w:val="none" w:sz="0" w:space="0" w:color="auto"/>
        <w:right w:val="none" w:sz="0" w:space="0" w:color="auto"/>
      </w:divBdr>
    </w:div>
    <w:div w:id="1675456556">
      <w:bodyDiv w:val="1"/>
      <w:marLeft w:val="0"/>
      <w:marRight w:val="0"/>
      <w:marTop w:val="0"/>
      <w:marBottom w:val="0"/>
      <w:divBdr>
        <w:top w:val="none" w:sz="0" w:space="0" w:color="auto"/>
        <w:left w:val="none" w:sz="0" w:space="0" w:color="auto"/>
        <w:bottom w:val="none" w:sz="0" w:space="0" w:color="auto"/>
        <w:right w:val="none" w:sz="0" w:space="0" w:color="auto"/>
      </w:divBdr>
    </w:div>
    <w:div w:id="1684238051">
      <w:bodyDiv w:val="1"/>
      <w:marLeft w:val="0"/>
      <w:marRight w:val="0"/>
      <w:marTop w:val="0"/>
      <w:marBottom w:val="0"/>
      <w:divBdr>
        <w:top w:val="none" w:sz="0" w:space="0" w:color="auto"/>
        <w:left w:val="none" w:sz="0" w:space="0" w:color="auto"/>
        <w:bottom w:val="none" w:sz="0" w:space="0" w:color="auto"/>
        <w:right w:val="none" w:sz="0" w:space="0" w:color="auto"/>
      </w:divBdr>
    </w:div>
    <w:div w:id="1716805618">
      <w:bodyDiv w:val="1"/>
      <w:marLeft w:val="0"/>
      <w:marRight w:val="0"/>
      <w:marTop w:val="0"/>
      <w:marBottom w:val="0"/>
      <w:divBdr>
        <w:top w:val="none" w:sz="0" w:space="0" w:color="auto"/>
        <w:left w:val="none" w:sz="0" w:space="0" w:color="auto"/>
        <w:bottom w:val="none" w:sz="0" w:space="0" w:color="auto"/>
        <w:right w:val="none" w:sz="0" w:space="0" w:color="auto"/>
      </w:divBdr>
    </w:div>
    <w:div w:id="1851947351">
      <w:bodyDiv w:val="1"/>
      <w:marLeft w:val="0"/>
      <w:marRight w:val="0"/>
      <w:marTop w:val="0"/>
      <w:marBottom w:val="0"/>
      <w:divBdr>
        <w:top w:val="none" w:sz="0" w:space="0" w:color="auto"/>
        <w:left w:val="none" w:sz="0" w:space="0" w:color="auto"/>
        <w:bottom w:val="none" w:sz="0" w:space="0" w:color="auto"/>
        <w:right w:val="none" w:sz="0" w:space="0" w:color="auto"/>
      </w:divBdr>
    </w:div>
    <w:div w:id="1884713505">
      <w:bodyDiv w:val="1"/>
      <w:marLeft w:val="0"/>
      <w:marRight w:val="0"/>
      <w:marTop w:val="0"/>
      <w:marBottom w:val="0"/>
      <w:divBdr>
        <w:top w:val="none" w:sz="0" w:space="0" w:color="auto"/>
        <w:left w:val="none" w:sz="0" w:space="0" w:color="auto"/>
        <w:bottom w:val="none" w:sz="0" w:space="0" w:color="auto"/>
        <w:right w:val="none" w:sz="0" w:space="0" w:color="auto"/>
      </w:divBdr>
    </w:div>
    <w:div w:id="1920140336">
      <w:bodyDiv w:val="1"/>
      <w:marLeft w:val="0"/>
      <w:marRight w:val="0"/>
      <w:marTop w:val="0"/>
      <w:marBottom w:val="0"/>
      <w:divBdr>
        <w:top w:val="none" w:sz="0" w:space="0" w:color="auto"/>
        <w:left w:val="none" w:sz="0" w:space="0" w:color="auto"/>
        <w:bottom w:val="none" w:sz="0" w:space="0" w:color="auto"/>
        <w:right w:val="none" w:sz="0" w:space="0" w:color="auto"/>
      </w:divBdr>
    </w:div>
    <w:div w:id="2022775759">
      <w:bodyDiv w:val="1"/>
      <w:marLeft w:val="0"/>
      <w:marRight w:val="0"/>
      <w:marTop w:val="0"/>
      <w:marBottom w:val="0"/>
      <w:divBdr>
        <w:top w:val="none" w:sz="0" w:space="0" w:color="auto"/>
        <w:left w:val="none" w:sz="0" w:space="0" w:color="auto"/>
        <w:bottom w:val="none" w:sz="0" w:space="0" w:color="auto"/>
        <w:right w:val="none" w:sz="0" w:space="0" w:color="auto"/>
      </w:divBdr>
    </w:div>
    <w:div w:id="2111006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0308518X241228453" TargetMode="External"/><Relationship Id="rId3" Type="http://schemas.openxmlformats.org/officeDocument/2006/relationships/settings" Target="settings.xml"/><Relationship Id="rId7" Type="http://schemas.openxmlformats.org/officeDocument/2006/relationships/hyperlink" Target="https://doi.org/10.1177/004209801246167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andrews.ac.uk/geography-sustainable-development/people/dwc3" TargetMode="External"/><Relationship Id="rId5" Type="http://schemas.openxmlformats.org/officeDocument/2006/relationships/hyperlink" Target="https://www.st-andrews.ac.uk/geography-sustainable-development/people/qh7/"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1055</Words>
  <Characters>5904</Characters>
  <Application>Microsoft Office Word</Application>
  <DocSecurity>0</DocSecurity>
  <Lines>203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Qiong He</dc:creator>
  <cp:keywords/>
  <dc:description/>
  <cp:lastModifiedBy>Qiong He</cp:lastModifiedBy>
  <cp:revision>2</cp:revision>
  <cp:lastPrinted>2024-12-07T14:47:00Z</cp:lastPrinted>
  <dcterms:created xsi:type="dcterms:W3CDTF">2024-12-16T15:49:00Z</dcterms:created>
  <dcterms:modified xsi:type="dcterms:W3CDTF">2024-12-16T15:49:00Z</dcterms:modified>
</cp:coreProperties>
</file>